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B05F91" w:rsidRPr="00AB2BF1" w:rsidRDefault="00AB2BF1" w:rsidP="00AB2BF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r w:rsidRPr="00AB2BF1">
        <w:rPr>
          <w:rFonts w:ascii="Times New Roman" w:hAnsi="Times New Roman" w:cs="Times New Roman"/>
          <w:sz w:val="28"/>
          <w:szCs w:val="28"/>
        </w:rPr>
        <w:t>Утверждены</w:t>
      </w:r>
    </w:p>
    <w:p w:rsidR="00AB2BF1" w:rsidRDefault="00AB2BF1" w:rsidP="00AB2BF1">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r w:rsidRPr="00AB2BF1">
        <w:rPr>
          <w:rFonts w:ascii="Times New Roman" w:hAnsi="Times New Roman" w:cs="Times New Roman"/>
          <w:sz w:val="28"/>
          <w:szCs w:val="28"/>
        </w:rPr>
        <w:t xml:space="preserve">Решением </w:t>
      </w:r>
      <w:proofErr w:type="spellStart"/>
      <w:r w:rsidRPr="00AB2BF1">
        <w:rPr>
          <w:rFonts w:ascii="Times New Roman" w:hAnsi="Times New Roman" w:cs="Times New Roman"/>
          <w:sz w:val="28"/>
          <w:szCs w:val="28"/>
        </w:rPr>
        <w:t>Глинковского</w:t>
      </w:r>
      <w:proofErr w:type="spellEnd"/>
      <w:r w:rsidRPr="00AB2BF1">
        <w:rPr>
          <w:rFonts w:ascii="Times New Roman" w:hAnsi="Times New Roman" w:cs="Times New Roman"/>
          <w:sz w:val="28"/>
          <w:szCs w:val="28"/>
        </w:rPr>
        <w:t xml:space="preserve"> </w:t>
      </w:r>
    </w:p>
    <w:p w:rsidR="00AB2BF1" w:rsidRPr="00AB2BF1" w:rsidRDefault="00AB2BF1" w:rsidP="00AB2BF1">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 xml:space="preserve">районного </w:t>
      </w:r>
      <w:r w:rsidRPr="00AB2BF1">
        <w:rPr>
          <w:rFonts w:ascii="Times New Roman" w:hAnsi="Times New Roman" w:cs="Times New Roman"/>
          <w:sz w:val="28"/>
          <w:szCs w:val="28"/>
        </w:rPr>
        <w:t>Совета депутатов</w:t>
      </w:r>
    </w:p>
    <w:p w:rsidR="00AB2BF1" w:rsidRPr="00AB2BF1" w:rsidRDefault="00F56B55" w:rsidP="00AB2BF1">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 xml:space="preserve">от 20 марта 2018 г.  №  </w:t>
      </w:r>
      <w:bookmarkStart w:id="0" w:name="_GoBack"/>
      <w:bookmarkEnd w:id="0"/>
      <w:r>
        <w:rPr>
          <w:rFonts w:ascii="Times New Roman" w:hAnsi="Times New Roman" w:cs="Times New Roman"/>
          <w:sz w:val="28"/>
          <w:szCs w:val="28"/>
        </w:rPr>
        <w:t>26</w:t>
      </w:r>
    </w:p>
    <w:p w:rsidR="00A70D26" w:rsidRPr="00AB2BF1" w:rsidRDefault="00A70D26" w:rsidP="004D163A">
      <w:pPr>
        <w:spacing w:after="0" w:line="240" w:lineRule="auto"/>
        <w:ind w:right="-2"/>
        <w:jc w:val="both"/>
        <w:rPr>
          <w:rFonts w:ascii="Times New Roman" w:hAnsi="Times New Roman" w:cs="Times New Roman"/>
          <w:sz w:val="28"/>
          <w:szCs w:val="28"/>
        </w:rPr>
      </w:pPr>
    </w:p>
    <w:p w:rsidR="00A70D26" w:rsidRPr="00AB2BF1"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Default="001760A0" w:rsidP="004D163A">
      <w:pPr>
        <w:spacing w:after="0" w:line="240" w:lineRule="auto"/>
        <w:ind w:right="-2"/>
        <w:rPr>
          <w:rFonts w:ascii="Times New Roman" w:hAnsi="Times New Roman" w:cs="Times New Roman"/>
          <w:sz w:val="28"/>
          <w:szCs w:val="28"/>
        </w:rPr>
      </w:pPr>
    </w:p>
    <w:p w:rsidR="00AB2BF1" w:rsidRDefault="00AB2BF1" w:rsidP="004D163A">
      <w:pPr>
        <w:spacing w:after="0" w:line="240" w:lineRule="auto"/>
        <w:ind w:right="-2"/>
        <w:rPr>
          <w:rFonts w:ascii="Times New Roman" w:hAnsi="Times New Roman" w:cs="Times New Roman"/>
          <w:sz w:val="28"/>
          <w:szCs w:val="28"/>
        </w:rPr>
      </w:pPr>
    </w:p>
    <w:p w:rsidR="00AB2BF1" w:rsidRPr="0065373C" w:rsidRDefault="00AB2BF1"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AB2BF1" w:rsidRDefault="00E47966" w:rsidP="00AB2BF1">
      <w:pPr>
        <w:spacing w:after="0" w:line="240" w:lineRule="auto"/>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AB2BF1" w:rsidRDefault="00760A65" w:rsidP="00AB2BF1">
      <w:pPr>
        <w:spacing w:after="0" w:line="240" w:lineRule="auto"/>
        <w:jc w:val="center"/>
        <w:rPr>
          <w:rFonts w:ascii="Times New Roman" w:hAnsi="Times New Roman" w:cs="Times New Roman"/>
          <w:b/>
          <w:sz w:val="40"/>
          <w:szCs w:val="40"/>
        </w:rPr>
      </w:pPr>
      <w:proofErr w:type="spellStart"/>
      <w:r>
        <w:rPr>
          <w:rFonts w:ascii="Times New Roman" w:hAnsi="Times New Roman" w:cs="Times New Roman"/>
          <w:b/>
          <w:sz w:val="40"/>
          <w:szCs w:val="40"/>
        </w:rPr>
        <w:t>Белохолмского</w:t>
      </w:r>
      <w:proofErr w:type="spellEnd"/>
      <w:r w:rsidR="00B05F91" w:rsidRPr="00B05F91">
        <w:rPr>
          <w:rFonts w:ascii="Times New Roman" w:hAnsi="Times New Roman" w:cs="Times New Roman"/>
          <w:b/>
          <w:sz w:val="40"/>
          <w:szCs w:val="40"/>
        </w:rPr>
        <w:t xml:space="preserve"> сельского поселения</w:t>
      </w:r>
      <w:r w:rsidR="00AB2BF1">
        <w:rPr>
          <w:rFonts w:ascii="Times New Roman" w:hAnsi="Times New Roman" w:cs="Times New Roman"/>
          <w:b/>
          <w:sz w:val="40"/>
          <w:szCs w:val="40"/>
        </w:rPr>
        <w:t xml:space="preserve"> </w:t>
      </w:r>
    </w:p>
    <w:p w:rsidR="00AB2BF1" w:rsidRDefault="009B17A9" w:rsidP="00AB2BF1">
      <w:pPr>
        <w:spacing w:after="0" w:line="240" w:lineRule="auto"/>
        <w:jc w:val="center"/>
        <w:rPr>
          <w:rFonts w:ascii="Times New Roman" w:hAnsi="Times New Roman" w:cs="Times New Roman"/>
          <w:b/>
          <w:sz w:val="40"/>
          <w:szCs w:val="40"/>
        </w:rPr>
      </w:pPr>
      <w:r w:rsidRPr="009B17A9">
        <w:rPr>
          <w:rFonts w:ascii="Times New Roman" w:hAnsi="Times New Roman" w:cs="Times New Roman"/>
          <w:b/>
          <w:sz w:val="40"/>
          <w:szCs w:val="40"/>
        </w:rPr>
        <w:t xml:space="preserve">муниципального </w:t>
      </w:r>
      <w:r w:rsidR="00AB2BF1">
        <w:rPr>
          <w:rFonts w:ascii="Times New Roman" w:hAnsi="Times New Roman" w:cs="Times New Roman"/>
          <w:b/>
          <w:sz w:val="40"/>
          <w:szCs w:val="40"/>
        </w:rPr>
        <w:t xml:space="preserve"> </w:t>
      </w:r>
      <w:r w:rsidRPr="009B17A9">
        <w:rPr>
          <w:rFonts w:ascii="Times New Roman" w:hAnsi="Times New Roman" w:cs="Times New Roman"/>
          <w:b/>
          <w:sz w:val="40"/>
          <w:szCs w:val="40"/>
        </w:rPr>
        <w:t xml:space="preserve">образования </w:t>
      </w:r>
    </w:p>
    <w:p w:rsidR="00B05F91" w:rsidRPr="00651A83" w:rsidRDefault="009B17A9" w:rsidP="00AB2BF1">
      <w:pPr>
        <w:spacing w:after="0" w:line="240" w:lineRule="auto"/>
        <w:jc w:val="center"/>
        <w:rPr>
          <w:b/>
          <w:sz w:val="40"/>
          <w:szCs w:val="40"/>
        </w:rPr>
      </w:pPr>
      <w:r w:rsidRPr="009B17A9">
        <w:rPr>
          <w:rFonts w:ascii="Times New Roman" w:hAnsi="Times New Roman" w:cs="Times New Roman"/>
          <w:b/>
          <w:sz w:val="40"/>
          <w:szCs w:val="40"/>
        </w:rPr>
        <w:t>«</w:t>
      </w:r>
      <w:proofErr w:type="spellStart"/>
      <w:r w:rsidRPr="009B17A9">
        <w:rPr>
          <w:rFonts w:ascii="Times New Roman" w:hAnsi="Times New Roman" w:cs="Times New Roman"/>
          <w:b/>
          <w:sz w:val="40"/>
          <w:szCs w:val="40"/>
        </w:rPr>
        <w:t>Глинковский</w:t>
      </w:r>
      <w:proofErr w:type="spellEnd"/>
      <w:r w:rsidRPr="009B17A9">
        <w:rPr>
          <w:rFonts w:ascii="Times New Roman" w:hAnsi="Times New Roman" w:cs="Times New Roman"/>
          <w:b/>
          <w:sz w:val="40"/>
          <w:szCs w:val="40"/>
        </w:rPr>
        <w:t xml:space="preserve"> район»</w:t>
      </w:r>
      <w:r>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suppressAutoHyphens/>
        <w:jc w:val="both"/>
        <w:rPr>
          <w:sz w:val="28"/>
          <w:szCs w:val="28"/>
        </w:rPr>
      </w:pPr>
    </w:p>
    <w:p w:rsidR="00B05F91" w:rsidRDefault="00B05F91" w:rsidP="00B05F91">
      <w:pPr>
        <w:suppressAutoHyphens/>
        <w:jc w:val="both"/>
        <w:rPr>
          <w:sz w:val="28"/>
          <w:szCs w:val="28"/>
        </w:rPr>
      </w:pPr>
    </w:p>
    <w:p w:rsidR="00AB2BF1" w:rsidRDefault="00AB2BF1" w:rsidP="004B035C">
      <w:pPr>
        <w:pStyle w:val="10"/>
        <w:spacing w:before="0" w:line="240" w:lineRule="auto"/>
        <w:jc w:val="center"/>
        <w:rPr>
          <w:rFonts w:ascii="Times New Roman" w:hAnsi="Times New Roman" w:cs="Times New Roman"/>
          <w:color w:val="auto"/>
        </w:rPr>
      </w:pPr>
      <w:bookmarkStart w:id="1" w:name="_Toc496019114"/>
      <w:bookmarkStart w:id="2" w:name="_Toc502048584"/>
    </w:p>
    <w:p w:rsidR="004B035C" w:rsidRPr="00394F1F" w:rsidRDefault="004B035C" w:rsidP="004B035C">
      <w:pPr>
        <w:pStyle w:val="10"/>
        <w:spacing w:before="0" w:line="240" w:lineRule="auto"/>
        <w:jc w:val="center"/>
        <w:rPr>
          <w:rFonts w:ascii="Times New Roman" w:hAnsi="Times New Roman" w:cs="Times New Roman"/>
          <w:color w:val="auto"/>
        </w:rPr>
      </w:pPr>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AB2BF1" w:rsidRDefault="002A468A"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AB2BF1">
              <w:rPr>
                <w:rStyle w:val="af4"/>
                <w:rFonts w:ascii="Times New Roman" w:hAnsi="Times New Roman" w:cs="Times New Roman"/>
                <w:noProof/>
                <w:color w:val="auto"/>
                <w:sz w:val="28"/>
                <w:szCs w:val="28"/>
              </w:rPr>
              <w:t>ОГЛАВЛЕНИЕ</w:t>
            </w:r>
            <w:r w:rsidR="004B035C" w:rsidRPr="00AB2BF1">
              <w:rPr>
                <w:rFonts w:ascii="Times New Roman" w:hAnsi="Times New Roman" w:cs="Times New Roman"/>
                <w:noProof/>
                <w:webHidden/>
                <w:sz w:val="28"/>
                <w:szCs w:val="28"/>
              </w:rPr>
              <w:tab/>
            </w:r>
            <w:r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_Toc502048584 \h </w:instrText>
            </w:r>
            <w:r w:rsidRPr="00AB2BF1">
              <w:rPr>
                <w:rFonts w:ascii="Times New Roman" w:hAnsi="Times New Roman" w:cs="Times New Roman"/>
                <w:noProof/>
                <w:webHidden/>
                <w:sz w:val="28"/>
                <w:szCs w:val="28"/>
              </w:rPr>
            </w:r>
            <w:r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2</w:t>
            </w:r>
            <w:r w:rsidRPr="00AB2BF1">
              <w:rPr>
                <w:rFonts w:ascii="Times New Roman" w:hAnsi="Times New Roman" w:cs="Times New Roman"/>
                <w:noProof/>
                <w:webHidden/>
                <w:sz w:val="28"/>
                <w:szCs w:val="28"/>
              </w:rPr>
              <w:fldChar w:fldCharType="end"/>
            </w:r>
          </w:hyperlink>
        </w:p>
        <w:p w:rsidR="004B035C" w:rsidRPr="00AB2BF1" w:rsidRDefault="000C6F8A" w:rsidP="004B035C">
          <w:pPr>
            <w:pStyle w:val="12"/>
            <w:tabs>
              <w:tab w:val="right" w:leader="dot" w:pos="10195"/>
            </w:tabs>
            <w:rPr>
              <w:rFonts w:ascii="Times New Roman" w:hAnsi="Times New Roman" w:cs="Times New Roman"/>
              <w:noProof/>
              <w:sz w:val="28"/>
              <w:szCs w:val="28"/>
            </w:rPr>
          </w:pPr>
          <w:hyperlink w:anchor="_Toc502048585" w:history="1">
            <w:r w:rsidR="004B035C" w:rsidRPr="00AB2BF1">
              <w:rPr>
                <w:rStyle w:val="af4"/>
                <w:rFonts w:ascii="Times New Roman" w:hAnsi="Times New Roman" w:cs="Times New Roman"/>
                <w:noProof/>
                <w:color w:val="auto"/>
                <w:sz w:val="28"/>
                <w:szCs w:val="28"/>
              </w:rPr>
              <w:t>Введение</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_Toc502048585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6</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AB2BF1">
              <w:rPr>
                <w:rStyle w:val="af4"/>
                <w:rFonts w:ascii="Times New Roman" w:hAnsi="Times New Roman" w:cs="Times New Roman"/>
                <w:noProof/>
                <w:color w:val="auto"/>
                <w:sz w:val="28"/>
                <w:szCs w:val="28"/>
              </w:rPr>
              <w:t>1.</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ОСНОВНАЯ ЧАСТЬ</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_Toc502048586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8</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AB2BF1">
              <w:rPr>
                <w:rStyle w:val="af4"/>
                <w:rFonts w:ascii="Times New Roman" w:hAnsi="Times New Roman" w:cs="Times New Roman"/>
                <w:noProof/>
                <w:color w:val="auto"/>
                <w:sz w:val="28"/>
                <w:szCs w:val="28"/>
              </w:rPr>
              <w:t>1.1.</w:t>
            </w:r>
            <w:r w:rsidR="004B035C" w:rsidRPr="00AB2BF1">
              <w:rPr>
                <w:rFonts w:ascii="Times New Roman" w:hAnsi="Times New Roman" w:cs="Times New Roman"/>
                <w:noProof/>
                <w:sz w:val="28"/>
                <w:szCs w:val="28"/>
              </w:rPr>
              <w:tab/>
            </w:r>
            <w:r w:rsidR="004B035C" w:rsidRPr="00AB2BF1">
              <w:rPr>
                <w:rStyle w:val="af4"/>
                <w:rFonts w:ascii="Times New Roman" w:eastAsia="Times New Roman" w:hAnsi="Times New Roman" w:cs="Times New Roman"/>
                <w:bCs/>
                <w:noProof/>
                <w:color w:val="auto"/>
                <w:sz w:val="28"/>
                <w:szCs w:val="28"/>
              </w:rPr>
              <w:t>Объекты местного значения в области инженерных коммуникаций</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_Toc502048587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8</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31"/>
            <w:tabs>
              <w:tab w:val="left" w:pos="1760"/>
              <w:tab w:val="right" w:leader="dot" w:pos="10195"/>
            </w:tabs>
            <w:rPr>
              <w:noProof/>
            </w:rPr>
          </w:pPr>
          <w:hyperlink w:anchor="_Toc502048588" w:history="1">
            <w:r w:rsidR="004B035C" w:rsidRPr="00AB2BF1">
              <w:rPr>
                <w:rStyle w:val="af4"/>
                <w:noProof/>
                <w:color w:val="auto"/>
              </w:rPr>
              <w:t>1.1.1.</w:t>
            </w:r>
            <w:r w:rsidR="004B035C" w:rsidRPr="00AB2BF1">
              <w:rPr>
                <w:noProof/>
              </w:rPr>
              <w:tab/>
            </w:r>
            <w:r w:rsidR="004B035C" w:rsidRPr="00AB2BF1">
              <w:rPr>
                <w:rStyle w:val="af4"/>
                <w:noProof/>
                <w:color w:val="auto"/>
              </w:rPr>
              <w:t>Объекты местного значения сельского поселения в области электроснабжения</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_Toc502048588 \h </w:instrText>
            </w:r>
            <w:r w:rsidR="002A468A" w:rsidRPr="00AB2BF1">
              <w:rPr>
                <w:noProof/>
                <w:webHidden/>
              </w:rPr>
            </w:r>
            <w:r w:rsidR="002A468A" w:rsidRPr="00AB2BF1">
              <w:rPr>
                <w:noProof/>
                <w:webHidden/>
              </w:rPr>
              <w:fldChar w:fldCharType="separate"/>
            </w:r>
            <w:r w:rsidR="00EE6CF5" w:rsidRPr="00AB2BF1">
              <w:rPr>
                <w:noProof/>
                <w:webHidden/>
              </w:rPr>
              <w:t>8</w:t>
            </w:r>
            <w:r w:rsidR="002A468A" w:rsidRPr="00AB2BF1">
              <w:rPr>
                <w:noProof/>
                <w:webHidden/>
              </w:rPr>
              <w:fldChar w:fldCharType="end"/>
            </w:r>
          </w:hyperlink>
        </w:p>
        <w:p w:rsidR="004B035C" w:rsidRPr="00AB2BF1" w:rsidRDefault="000C6F8A" w:rsidP="004B035C">
          <w:pPr>
            <w:pStyle w:val="31"/>
            <w:tabs>
              <w:tab w:val="left" w:pos="1760"/>
              <w:tab w:val="right" w:leader="dot" w:pos="10195"/>
            </w:tabs>
            <w:rPr>
              <w:noProof/>
            </w:rPr>
          </w:pPr>
          <w:hyperlink w:anchor="_Toc502048589" w:history="1">
            <w:r w:rsidR="004B035C" w:rsidRPr="00AB2BF1">
              <w:rPr>
                <w:rStyle w:val="af4"/>
                <w:noProof/>
                <w:color w:val="auto"/>
              </w:rPr>
              <w:t>1.1.2.</w:t>
            </w:r>
            <w:r w:rsidR="004B035C" w:rsidRPr="00AB2BF1">
              <w:rPr>
                <w:noProof/>
              </w:rPr>
              <w:tab/>
            </w:r>
            <w:r w:rsidR="004B035C" w:rsidRPr="00AB2BF1">
              <w:rPr>
                <w:rStyle w:val="af4"/>
                <w:noProof/>
                <w:color w:val="auto"/>
              </w:rPr>
              <w:t>Объекты местного значения сельского поселения в области газоснабжения</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_Toc502048589 \h </w:instrText>
            </w:r>
            <w:r w:rsidR="002A468A" w:rsidRPr="00AB2BF1">
              <w:rPr>
                <w:noProof/>
                <w:webHidden/>
              </w:rPr>
            </w:r>
            <w:r w:rsidR="002A468A" w:rsidRPr="00AB2BF1">
              <w:rPr>
                <w:noProof/>
                <w:webHidden/>
              </w:rPr>
              <w:fldChar w:fldCharType="separate"/>
            </w:r>
            <w:r w:rsidR="00EE6CF5" w:rsidRPr="00AB2BF1">
              <w:rPr>
                <w:noProof/>
                <w:webHidden/>
              </w:rPr>
              <w:t>16</w:t>
            </w:r>
            <w:r w:rsidR="002A468A" w:rsidRPr="00AB2BF1">
              <w:rPr>
                <w:noProof/>
                <w:webHidden/>
              </w:rPr>
              <w:fldChar w:fldCharType="end"/>
            </w:r>
          </w:hyperlink>
        </w:p>
        <w:p w:rsidR="004B035C" w:rsidRPr="00AB2BF1" w:rsidRDefault="000C6F8A" w:rsidP="004B035C">
          <w:pPr>
            <w:pStyle w:val="31"/>
            <w:tabs>
              <w:tab w:val="left" w:pos="1760"/>
              <w:tab w:val="right" w:leader="dot" w:pos="10195"/>
            </w:tabs>
            <w:rPr>
              <w:noProof/>
            </w:rPr>
          </w:pPr>
          <w:hyperlink w:anchor="_Toc502048590" w:history="1">
            <w:r w:rsidR="004B035C" w:rsidRPr="00AB2BF1">
              <w:rPr>
                <w:rStyle w:val="af4"/>
                <w:noProof/>
                <w:color w:val="auto"/>
              </w:rPr>
              <w:t>1.1.3.</w:t>
            </w:r>
            <w:r w:rsidR="004B035C" w:rsidRPr="00AB2BF1">
              <w:rPr>
                <w:noProof/>
              </w:rPr>
              <w:tab/>
            </w:r>
            <w:r w:rsidR="004B035C" w:rsidRPr="00AB2BF1">
              <w:rPr>
                <w:rStyle w:val="af4"/>
                <w:noProof/>
                <w:color w:val="auto"/>
              </w:rPr>
              <w:t>Объекты местного значения сельского поселения в области теплоснабжения</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_Toc502048590 \h </w:instrText>
            </w:r>
            <w:r w:rsidR="002A468A" w:rsidRPr="00AB2BF1">
              <w:rPr>
                <w:noProof/>
                <w:webHidden/>
              </w:rPr>
            </w:r>
            <w:r w:rsidR="002A468A" w:rsidRPr="00AB2BF1">
              <w:rPr>
                <w:noProof/>
                <w:webHidden/>
              </w:rPr>
              <w:fldChar w:fldCharType="separate"/>
            </w:r>
            <w:r w:rsidR="00EE6CF5" w:rsidRPr="00AB2BF1">
              <w:rPr>
                <w:noProof/>
                <w:webHidden/>
              </w:rPr>
              <w:t>21</w:t>
            </w:r>
            <w:r w:rsidR="002A468A" w:rsidRPr="00AB2BF1">
              <w:rPr>
                <w:noProof/>
                <w:webHidden/>
              </w:rPr>
              <w:fldChar w:fldCharType="end"/>
            </w:r>
          </w:hyperlink>
        </w:p>
        <w:p w:rsidR="004B035C" w:rsidRPr="00AB2BF1" w:rsidRDefault="000C6F8A" w:rsidP="004B035C">
          <w:pPr>
            <w:pStyle w:val="31"/>
            <w:tabs>
              <w:tab w:val="left" w:pos="1760"/>
              <w:tab w:val="right" w:leader="dot" w:pos="10195"/>
            </w:tabs>
            <w:rPr>
              <w:noProof/>
            </w:rPr>
          </w:pPr>
          <w:hyperlink w:anchor="_Toc502048591" w:history="1">
            <w:r w:rsidR="004B035C" w:rsidRPr="00AB2BF1">
              <w:rPr>
                <w:rStyle w:val="af4"/>
                <w:noProof/>
                <w:color w:val="auto"/>
              </w:rPr>
              <w:t>1.1.4.</w:t>
            </w:r>
            <w:r w:rsidR="004B035C" w:rsidRPr="00AB2BF1">
              <w:rPr>
                <w:noProof/>
              </w:rPr>
              <w:tab/>
            </w:r>
            <w:r w:rsidR="004B035C" w:rsidRPr="00AB2BF1">
              <w:rPr>
                <w:rStyle w:val="af4"/>
                <w:noProof/>
                <w:color w:val="auto"/>
              </w:rPr>
              <w:t>Объекты местного значения сельского поселения в области водоснабжения</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_Toc502048591 \h </w:instrText>
            </w:r>
            <w:r w:rsidR="002A468A" w:rsidRPr="00AB2BF1">
              <w:rPr>
                <w:noProof/>
                <w:webHidden/>
              </w:rPr>
            </w:r>
            <w:r w:rsidR="002A468A" w:rsidRPr="00AB2BF1">
              <w:rPr>
                <w:noProof/>
                <w:webHidden/>
              </w:rPr>
              <w:fldChar w:fldCharType="separate"/>
            </w:r>
            <w:r w:rsidR="00EE6CF5" w:rsidRPr="00AB2BF1">
              <w:rPr>
                <w:noProof/>
                <w:webHidden/>
              </w:rPr>
              <w:t>24</w:t>
            </w:r>
            <w:r w:rsidR="002A468A" w:rsidRPr="00AB2BF1">
              <w:rPr>
                <w:noProof/>
                <w:webHidden/>
              </w:rPr>
              <w:fldChar w:fldCharType="end"/>
            </w:r>
          </w:hyperlink>
        </w:p>
        <w:p w:rsidR="004B035C" w:rsidRPr="00AB2BF1" w:rsidRDefault="000C6F8A" w:rsidP="004B035C">
          <w:pPr>
            <w:pStyle w:val="31"/>
            <w:tabs>
              <w:tab w:val="left" w:pos="1760"/>
              <w:tab w:val="right" w:leader="dot" w:pos="10195"/>
            </w:tabs>
            <w:rPr>
              <w:noProof/>
            </w:rPr>
          </w:pPr>
          <w:hyperlink w:anchor="_Toc502048592" w:history="1">
            <w:r w:rsidR="004B035C" w:rsidRPr="00AB2BF1">
              <w:rPr>
                <w:rStyle w:val="af4"/>
                <w:noProof/>
                <w:color w:val="auto"/>
              </w:rPr>
              <w:t>1.1.5.</w:t>
            </w:r>
            <w:r w:rsidR="004B035C" w:rsidRPr="00AB2BF1">
              <w:rPr>
                <w:noProof/>
              </w:rPr>
              <w:tab/>
            </w:r>
            <w:r w:rsidR="004B035C" w:rsidRPr="00AB2BF1">
              <w:rPr>
                <w:rStyle w:val="af4"/>
                <w:noProof/>
                <w:color w:val="auto"/>
              </w:rPr>
              <w:t>Объекты местного значения сельского поселения в области водоотведения</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_Toc502048592 \h </w:instrText>
            </w:r>
            <w:r w:rsidR="002A468A" w:rsidRPr="00AB2BF1">
              <w:rPr>
                <w:noProof/>
                <w:webHidden/>
              </w:rPr>
            </w:r>
            <w:r w:rsidR="002A468A" w:rsidRPr="00AB2BF1">
              <w:rPr>
                <w:noProof/>
                <w:webHidden/>
              </w:rPr>
              <w:fldChar w:fldCharType="separate"/>
            </w:r>
            <w:r w:rsidR="00EE6CF5" w:rsidRPr="00AB2BF1">
              <w:rPr>
                <w:noProof/>
                <w:webHidden/>
              </w:rPr>
              <w:t>29</w:t>
            </w:r>
            <w:r w:rsidR="002A468A" w:rsidRPr="00AB2BF1">
              <w:rPr>
                <w:noProof/>
                <w:webHidden/>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AB2BF1">
              <w:rPr>
                <w:rStyle w:val="af4"/>
                <w:rFonts w:ascii="Times New Roman" w:hAnsi="Times New Roman" w:cs="Times New Roman"/>
                <w:noProof/>
                <w:color w:val="auto"/>
                <w:sz w:val="28"/>
                <w:szCs w:val="28"/>
              </w:rPr>
              <w:t>1.2.</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сельского поселения в области автомобильных дорог местного значения</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_Toc502048593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32</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AB2BF1">
              <w:rPr>
                <w:rStyle w:val="af4"/>
                <w:rFonts w:ascii="Times New Roman" w:hAnsi="Times New Roman" w:cs="Times New Roman"/>
                <w:noProof/>
                <w:color w:val="auto"/>
                <w:sz w:val="28"/>
                <w:szCs w:val="28"/>
              </w:rPr>
              <w:t>1.3.</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относящиеся к области социальной инфраструктуры</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_Toc502048594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32</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31"/>
            <w:tabs>
              <w:tab w:val="left" w:pos="1760"/>
              <w:tab w:val="right" w:leader="dot" w:pos="10195"/>
            </w:tabs>
            <w:rPr>
              <w:noProof/>
            </w:rPr>
          </w:pPr>
          <w:hyperlink w:anchor="_Toc502048595" w:history="1">
            <w:r w:rsidR="004B035C" w:rsidRPr="00AB2BF1">
              <w:rPr>
                <w:rStyle w:val="af4"/>
                <w:noProof/>
                <w:color w:val="auto"/>
              </w:rPr>
              <w:t>1.3.1.</w:t>
            </w:r>
            <w:r w:rsidR="004B035C" w:rsidRPr="00AB2BF1">
              <w:rPr>
                <w:noProof/>
              </w:rPr>
              <w:tab/>
            </w:r>
            <w:r w:rsidR="004B035C" w:rsidRPr="00AB2BF1">
              <w:rPr>
                <w:rStyle w:val="af4"/>
                <w:noProof/>
                <w:color w:val="auto"/>
              </w:rPr>
              <w:t>Объекты местного значения сельского поселения в области                культуры</w:t>
            </w:r>
            <w:r w:rsidR="004B035C" w:rsidRPr="00AB2BF1">
              <w:rPr>
                <w:noProof/>
                <w:webHidden/>
              </w:rPr>
              <w:tab/>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_Toc502048595 \h </w:instrText>
            </w:r>
            <w:r w:rsidR="002A468A" w:rsidRPr="00AB2BF1">
              <w:rPr>
                <w:noProof/>
                <w:webHidden/>
              </w:rPr>
            </w:r>
            <w:r w:rsidR="002A468A" w:rsidRPr="00AB2BF1">
              <w:rPr>
                <w:noProof/>
                <w:webHidden/>
              </w:rPr>
              <w:fldChar w:fldCharType="separate"/>
            </w:r>
            <w:r w:rsidR="00EE6CF5" w:rsidRPr="00AB2BF1">
              <w:rPr>
                <w:noProof/>
                <w:webHidden/>
              </w:rPr>
              <w:t>32</w:t>
            </w:r>
            <w:r w:rsidR="002A468A" w:rsidRPr="00AB2BF1">
              <w:rPr>
                <w:noProof/>
                <w:webHidden/>
              </w:rPr>
              <w:fldChar w:fldCharType="end"/>
            </w:r>
          </w:hyperlink>
        </w:p>
        <w:p w:rsidR="004B035C" w:rsidRPr="00AB2BF1" w:rsidRDefault="000C6F8A" w:rsidP="004B035C">
          <w:pPr>
            <w:pStyle w:val="31"/>
            <w:tabs>
              <w:tab w:val="left" w:pos="1760"/>
              <w:tab w:val="right" w:leader="dot" w:pos="10195"/>
            </w:tabs>
            <w:rPr>
              <w:noProof/>
            </w:rPr>
          </w:pPr>
          <w:hyperlink w:anchor="_Toc502048596" w:history="1">
            <w:r w:rsidR="004B035C" w:rsidRPr="00AB2BF1">
              <w:rPr>
                <w:rStyle w:val="af4"/>
                <w:noProof/>
                <w:color w:val="auto"/>
              </w:rPr>
              <w:t>1.3.2.</w:t>
            </w:r>
            <w:r w:rsidR="004B035C" w:rsidRPr="00AB2BF1">
              <w:rPr>
                <w:noProof/>
              </w:rPr>
              <w:tab/>
            </w:r>
            <w:r w:rsidR="004B035C" w:rsidRPr="00AB2BF1">
              <w:rPr>
                <w:rStyle w:val="af4"/>
                <w:noProof/>
                <w:color w:val="auto"/>
              </w:rPr>
              <w:t>Объекты местного значения сельского поселения в области молодежной политики</w:t>
            </w:r>
            <w:r w:rsidR="004B035C" w:rsidRPr="00AB2BF1">
              <w:rPr>
                <w:noProof/>
                <w:webHidden/>
              </w:rPr>
              <w:tab/>
            </w:r>
            <w:r w:rsidR="002A468A" w:rsidRPr="00AB2BF1">
              <w:rPr>
                <w:noProof/>
                <w:webHidden/>
              </w:rPr>
              <w:fldChar w:fldCharType="begin"/>
            </w:r>
            <w:r w:rsidR="004B035C" w:rsidRPr="00AB2BF1">
              <w:rPr>
                <w:noProof/>
                <w:webHidden/>
              </w:rPr>
              <w:instrText xml:space="preserve"> PAGEREF _Toc502048596 \h </w:instrText>
            </w:r>
            <w:r w:rsidR="002A468A" w:rsidRPr="00AB2BF1">
              <w:rPr>
                <w:noProof/>
                <w:webHidden/>
              </w:rPr>
            </w:r>
            <w:r w:rsidR="002A468A" w:rsidRPr="00AB2BF1">
              <w:rPr>
                <w:noProof/>
                <w:webHidden/>
              </w:rPr>
              <w:fldChar w:fldCharType="separate"/>
            </w:r>
            <w:r w:rsidR="00EE6CF5" w:rsidRPr="00AB2BF1">
              <w:rPr>
                <w:noProof/>
                <w:webHidden/>
              </w:rPr>
              <w:t>34</w:t>
            </w:r>
            <w:r w:rsidR="002A468A" w:rsidRPr="00AB2BF1">
              <w:rPr>
                <w:noProof/>
                <w:webHidden/>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AB2BF1">
              <w:rPr>
                <w:rStyle w:val="af4"/>
                <w:rFonts w:ascii="Times New Roman" w:hAnsi="Times New Roman" w:cs="Times New Roman"/>
                <w:noProof/>
                <w:color w:val="auto"/>
                <w:sz w:val="28"/>
                <w:szCs w:val="28"/>
              </w:rPr>
              <w:t>1.4.</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сельского поселения в области инвестиционной деятельности</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_Toc502048597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34</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AB2BF1">
              <w:rPr>
                <w:rStyle w:val="af4"/>
                <w:rFonts w:ascii="Times New Roman" w:hAnsi="Times New Roman" w:cs="Times New Roman"/>
                <w:noProof/>
                <w:color w:val="auto"/>
                <w:sz w:val="28"/>
                <w:szCs w:val="28"/>
              </w:rPr>
              <w:t>1.5.</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_Toc502048598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36</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AB2BF1">
              <w:rPr>
                <w:rStyle w:val="af4"/>
                <w:rFonts w:ascii="Times New Roman" w:hAnsi="Times New Roman" w:cs="Times New Roman"/>
                <w:noProof/>
                <w:color w:val="auto"/>
                <w:sz w:val="28"/>
                <w:szCs w:val="28"/>
              </w:rPr>
              <w:t>1.6.</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_Toc502048599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37</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AB2BF1">
              <w:rPr>
                <w:rStyle w:val="af4"/>
                <w:rFonts w:ascii="Times New Roman" w:hAnsi="Times New Roman" w:cs="Times New Roman"/>
                <w:noProof/>
                <w:color w:val="auto"/>
                <w:sz w:val="28"/>
                <w:szCs w:val="28"/>
              </w:rPr>
              <w:t>1.7.</w:t>
            </w:r>
            <w:r w:rsidR="004B035C" w:rsidRPr="00AB2BF1">
              <w:rPr>
                <w:rFonts w:ascii="Times New Roman" w:hAnsi="Times New Roman" w:cs="Times New Roman"/>
                <w:noProof/>
                <w:sz w:val="28"/>
                <w:szCs w:val="28"/>
              </w:rPr>
              <w:tab/>
            </w:r>
            <w:r w:rsidR="004B035C" w:rsidRPr="00AB2BF1">
              <w:rPr>
                <w:rStyle w:val="af4"/>
                <w:rFonts w:ascii="Times New Roman" w:hAnsi="Times New Roman" w:cs="Times New Roman"/>
                <w:noProof/>
                <w:color w:val="auto"/>
                <w:sz w:val="28"/>
                <w:szCs w:val="28"/>
              </w:rPr>
              <w:t>Объекты местного значения сельского поселения в области благоустройства и озеленения территории</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_Toc502048600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38</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AB2BF1">
              <w:rPr>
                <w:rStyle w:val="af4"/>
                <w:rFonts w:ascii="Times New Roman" w:hAnsi="Times New Roman" w:cs="Times New Roman"/>
                <w:noProof/>
                <w:color w:val="auto"/>
                <w:sz w:val="28"/>
                <w:szCs w:val="28"/>
              </w:rPr>
              <w:t>ПРИЛОЖЕНИЕ 1. Расчетные показатели объектов, не относящихся к объектам местного значения поселения</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_Toc502048601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40</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AB2BF1">
              <w:rPr>
                <w:rStyle w:val="af4"/>
                <w:rFonts w:ascii="Times New Roman" w:hAnsi="Times New Roman" w:cs="Times New Roman"/>
                <w:noProof/>
                <w:color w:val="auto"/>
                <w:sz w:val="28"/>
                <w:szCs w:val="28"/>
              </w:rPr>
              <w:t>Объекты, относящиеся к области жилищного строительства</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_Toc502048602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40</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AB2BF1">
              <w:rPr>
                <w:rStyle w:val="af4"/>
                <w:rFonts w:ascii="Times New Roman" w:hAnsi="Times New Roman" w:cs="Times New Roman"/>
                <w:noProof/>
                <w:color w:val="auto"/>
                <w:sz w:val="28"/>
                <w:szCs w:val="28"/>
              </w:rPr>
              <w:t>Объекты, относящиеся к области фармацевтики</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_Toc502048603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47</w:t>
            </w:r>
            <w:r w:rsidR="002A468A" w:rsidRPr="00AB2BF1">
              <w:rPr>
                <w:rFonts w:ascii="Times New Roman" w:hAnsi="Times New Roman" w:cs="Times New Roman"/>
                <w:noProof/>
                <w:webHidden/>
                <w:sz w:val="28"/>
                <w:szCs w:val="28"/>
              </w:rPr>
              <w:fldChar w:fldCharType="end"/>
            </w:r>
          </w:hyperlink>
        </w:p>
        <w:p w:rsidR="004B035C" w:rsidRPr="00AB2BF1" w:rsidRDefault="000C6F8A"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AB2BF1">
              <w:rPr>
                <w:rStyle w:val="af4"/>
                <w:rFonts w:ascii="Times New Roman" w:hAnsi="Times New Roman" w:cs="Times New Roman"/>
                <w:noProof/>
                <w:color w:val="auto"/>
                <w:sz w:val="28"/>
                <w:szCs w:val="28"/>
              </w:rPr>
              <w:t>Объекты, относящиеся к области культуры и искусства</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_Toc502048604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48</w:t>
            </w:r>
            <w:r w:rsidR="002A468A" w:rsidRPr="00AB2BF1">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AB2BF1">
              <w:rPr>
                <w:rStyle w:val="af4"/>
                <w:rFonts w:ascii="Times New Roman" w:hAnsi="Times New Roman" w:cs="Times New Roman"/>
                <w:noProof/>
                <w:color w:val="auto"/>
                <w:sz w:val="28"/>
                <w:szCs w:val="28"/>
              </w:rPr>
              <w:t>Объекты, относящиеся к области физической культуры и массового спорта</w:t>
            </w:r>
            <w:r w:rsidR="004B035C" w:rsidRPr="00AB2BF1">
              <w:rPr>
                <w:rFonts w:ascii="Times New Roman" w:hAnsi="Times New Roman" w:cs="Times New Roman"/>
                <w:noProof/>
                <w:webHidden/>
                <w:sz w:val="28"/>
                <w:szCs w:val="28"/>
              </w:rPr>
              <w:tab/>
            </w:r>
            <w:r w:rsidR="002A468A" w:rsidRPr="00AB2BF1">
              <w:rPr>
                <w:rFonts w:ascii="Times New Roman" w:hAnsi="Times New Roman" w:cs="Times New Roman"/>
                <w:noProof/>
                <w:webHidden/>
                <w:sz w:val="28"/>
                <w:szCs w:val="28"/>
              </w:rPr>
              <w:fldChar w:fldCharType="begin"/>
            </w:r>
            <w:r w:rsidR="004B035C" w:rsidRPr="00AB2BF1">
              <w:rPr>
                <w:rFonts w:ascii="Times New Roman" w:hAnsi="Times New Roman" w:cs="Times New Roman"/>
                <w:noProof/>
                <w:webHidden/>
                <w:sz w:val="28"/>
                <w:szCs w:val="28"/>
              </w:rPr>
              <w:instrText xml:space="preserve"> PAGEREF _Toc502048605 \h </w:instrText>
            </w:r>
            <w:r w:rsidR="002A468A" w:rsidRPr="00AB2BF1">
              <w:rPr>
                <w:rFonts w:ascii="Times New Roman" w:hAnsi="Times New Roman" w:cs="Times New Roman"/>
                <w:noProof/>
                <w:webHidden/>
                <w:sz w:val="28"/>
                <w:szCs w:val="28"/>
              </w:rPr>
            </w:r>
            <w:r w:rsidR="002A468A" w:rsidRPr="00AB2BF1">
              <w:rPr>
                <w:rFonts w:ascii="Times New Roman" w:hAnsi="Times New Roman" w:cs="Times New Roman"/>
                <w:noProof/>
                <w:webHidden/>
                <w:sz w:val="28"/>
                <w:szCs w:val="28"/>
              </w:rPr>
              <w:fldChar w:fldCharType="separate"/>
            </w:r>
            <w:r w:rsidR="00EE6CF5" w:rsidRPr="00AB2BF1">
              <w:rPr>
                <w:rFonts w:ascii="Times New Roman" w:hAnsi="Times New Roman" w:cs="Times New Roman"/>
                <w:noProof/>
                <w:webHidden/>
                <w:sz w:val="28"/>
                <w:szCs w:val="28"/>
              </w:rPr>
              <w:t>48</w:t>
            </w:r>
            <w:r w:rsidR="002A468A" w:rsidRPr="00AB2BF1">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49</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52</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62</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68</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84</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84</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_Toc502048616 \h </w:instrText>
            </w:r>
            <w:r w:rsidR="002A468A" w:rsidRPr="004B035C">
              <w:rPr>
                <w:noProof/>
                <w:webHidden/>
              </w:rPr>
            </w:r>
            <w:r w:rsidR="002A468A" w:rsidRPr="004B035C">
              <w:rPr>
                <w:noProof/>
                <w:webHidden/>
              </w:rPr>
              <w:fldChar w:fldCharType="separate"/>
            </w:r>
            <w:r w:rsidR="00EE6CF5">
              <w:rPr>
                <w:noProof/>
                <w:webHidden/>
              </w:rPr>
              <w:t>84</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_Toc502048617 \h </w:instrText>
            </w:r>
            <w:r w:rsidR="002A468A" w:rsidRPr="004B035C">
              <w:rPr>
                <w:noProof/>
                <w:webHidden/>
              </w:rPr>
            </w:r>
            <w:r w:rsidR="002A468A" w:rsidRPr="004B035C">
              <w:rPr>
                <w:noProof/>
                <w:webHidden/>
              </w:rPr>
              <w:fldChar w:fldCharType="separate"/>
            </w:r>
            <w:r w:rsidR="00EE6CF5">
              <w:rPr>
                <w:noProof/>
                <w:webHidden/>
              </w:rPr>
              <w:t>85</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_Toc502048618 \h </w:instrText>
            </w:r>
            <w:r w:rsidR="002A468A" w:rsidRPr="004B035C">
              <w:rPr>
                <w:noProof/>
                <w:webHidden/>
              </w:rPr>
            </w:r>
            <w:r w:rsidR="002A468A" w:rsidRPr="004B035C">
              <w:rPr>
                <w:noProof/>
                <w:webHidden/>
              </w:rPr>
              <w:fldChar w:fldCharType="separate"/>
            </w:r>
            <w:r w:rsidR="00EE6CF5">
              <w:rPr>
                <w:noProof/>
                <w:webHidden/>
              </w:rPr>
              <w:t>86</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_Toc502048619 \h </w:instrText>
            </w:r>
            <w:r w:rsidR="002A468A" w:rsidRPr="004B035C">
              <w:rPr>
                <w:noProof/>
                <w:webHidden/>
              </w:rPr>
            </w:r>
            <w:r w:rsidR="002A468A" w:rsidRPr="004B035C">
              <w:rPr>
                <w:noProof/>
                <w:webHidden/>
              </w:rPr>
              <w:fldChar w:fldCharType="separate"/>
            </w:r>
            <w:r w:rsidR="00EE6CF5">
              <w:rPr>
                <w:noProof/>
                <w:webHidden/>
              </w:rPr>
              <w:t>87</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_Toc502048620 \h </w:instrText>
            </w:r>
            <w:r w:rsidR="002A468A" w:rsidRPr="004B035C">
              <w:rPr>
                <w:noProof/>
                <w:webHidden/>
              </w:rPr>
            </w:r>
            <w:r w:rsidR="002A468A" w:rsidRPr="004B035C">
              <w:rPr>
                <w:noProof/>
                <w:webHidden/>
              </w:rPr>
              <w:fldChar w:fldCharType="separate"/>
            </w:r>
            <w:r w:rsidR="00EE6CF5">
              <w:rPr>
                <w:noProof/>
                <w:webHidden/>
              </w:rPr>
              <w:t>89</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_Toc502048621 \h </w:instrText>
            </w:r>
            <w:r w:rsidR="002A468A" w:rsidRPr="004B035C">
              <w:rPr>
                <w:noProof/>
                <w:webHidden/>
              </w:rPr>
            </w:r>
            <w:r w:rsidR="002A468A" w:rsidRPr="004B035C">
              <w:rPr>
                <w:noProof/>
                <w:webHidden/>
              </w:rPr>
              <w:fldChar w:fldCharType="separate"/>
            </w:r>
            <w:r w:rsidR="00EE6CF5">
              <w:rPr>
                <w:noProof/>
                <w:webHidden/>
              </w:rPr>
              <w:t>89</w:t>
            </w:r>
            <w:r w:rsidR="002A468A" w:rsidRPr="004B035C">
              <w:rPr>
                <w:noProof/>
                <w:webHidden/>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90</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_Toc502048625 \h </w:instrText>
            </w:r>
            <w:r w:rsidR="002A468A" w:rsidRPr="004B035C">
              <w:rPr>
                <w:noProof/>
                <w:webHidden/>
              </w:rPr>
            </w:r>
            <w:r w:rsidR="002A468A" w:rsidRPr="004B035C">
              <w:rPr>
                <w:noProof/>
                <w:webHidden/>
              </w:rPr>
              <w:fldChar w:fldCharType="separate"/>
            </w:r>
            <w:r w:rsidR="00EE6CF5">
              <w:rPr>
                <w:noProof/>
                <w:webHidden/>
              </w:rPr>
              <w:t>92</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2A468A" w:rsidRPr="004B035C">
              <w:rPr>
                <w:noProof/>
                <w:webHidden/>
              </w:rPr>
              <w:fldChar w:fldCharType="begin"/>
            </w:r>
            <w:r w:rsidR="004B035C" w:rsidRPr="004B035C">
              <w:rPr>
                <w:noProof/>
                <w:webHidden/>
              </w:rPr>
              <w:instrText xml:space="preserve"> PAGEREF _Toc502048626 \h </w:instrText>
            </w:r>
            <w:r w:rsidR="002A468A" w:rsidRPr="004B035C">
              <w:rPr>
                <w:noProof/>
                <w:webHidden/>
              </w:rPr>
            </w:r>
            <w:r w:rsidR="002A468A" w:rsidRPr="004B035C">
              <w:rPr>
                <w:noProof/>
                <w:webHidden/>
              </w:rPr>
              <w:fldChar w:fldCharType="separate"/>
            </w:r>
            <w:r w:rsidR="00EE6CF5">
              <w:rPr>
                <w:noProof/>
                <w:webHidden/>
              </w:rPr>
              <w:t>92</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_Toc502048627 \h </w:instrText>
            </w:r>
            <w:r w:rsidR="002A468A" w:rsidRPr="004B035C">
              <w:rPr>
                <w:noProof/>
                <w:webHidden/>
              </w:rPr>
            </w:r>
            <w:r w:rsidR="002A468A" w:rsidRPr="004B035C">
              <w:rPr>
                <w:noProof/>
                <w:webHidden/>
              </w:rPr>
              <w:fldChar w:fldCharType="separate"/>
            </w:r>
            <w:r w:rsidR="00EE6CF5">
              <w:rPr>
                <w:noProof/>
                <w:webHidden/>
              </w:rPr>
              <w:t>93</w:t>
            </w:r>
            <w:r w:rsidR="002A468A" w:rsidRPr="004B035C">
              <w:rPr>
                <w:noProof/>
                <w:webHidden/>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93</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94</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95</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95</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96</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96</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97</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_Toc502048635 \h </w:instrText>
            </w:r>
            <w:r w:rsidR="002A468A" w:rsidRPr="004B035C">
              <w:rPr>
                <w:noProof/>
                <w:webHidden/>
              </w:rPr>
            </w:r>
            <w:r w:rsidR="002A468A" w:rsidRPr="004B035C">
              <w:rPr>
                <w:noProof/>
                <w:webHidden/>
              </w:rPr>
              <w:fldChar w:fldCharType="separate"/>
            </w:r>
            <w:r w:rsidR="00EE6CF5">
              <w:rPr>
                <w:noProof/>
                <w:webHidden/>
              </w:rPr>
              <w:t>98</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_Toc502048636 \h </w:instrText>
            </w:r>
            <w:r w:rsidR="002A468A" w:rsidRPr="004B035C">
              <w:rPr>
                <w:noProof/>
                <w:webHidden/>
              </w:rPr>
            </w:r>
            <w:r w:rsidR="002A468A" w:rsidRPr="004B035C">
              <w:rPr>
                <w:noProof/>
                <w:webHidden/>
              </w:rPr>
              <w:fldChar w:fldCharType="separate"/>
            </w:r>
            <w:r w:rsidR="00EE6CF5">
              <w:rPr>
                <w:noProof/>
                <w:webHidden/>
              </w:rPr>
              <w:t>101</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2A468A" w:rsidRPr="004B035C">
              <w:rPr>
                <w:noProof/>
                <w:webHidden/>
              </w:rPr>
              <w:fldChar w:fldCharType="begin"/>
            </w:r>
            <w:r w:rsidR="004B035C" w:rsidRPr="004B035C">
              <w:rPr>
                <w:noProof/>
                <w:webHidden/>
              </w:rPr>
              <w:instrText xml:space="preserve"> PAGEREF _Toc502048637 \h </w:instrText>
            </w:r>
            <w:r w:rsidR="002A468A" w:rsidRPr="004B035C">
              <w:rPr>
                <w:noProof/>
                <w:webHidden/>
              </w:rPr>
            </w:r>
            <w:r w:rsidR="002A468A" w:rsidRPr="004B035C">
              <w:rPr>
                <w:noProof/>
                <w:webHidden/>
              </w:rPr>
              <w:fldChar w:fldCharType="separate"/>
            </w:r>
            <w:r w:rsidR="00EE6CF5">
              <w:rPr>
                <w:noProof/>
                <w:webHidden/>
              </w:rPr>
              <w:t>102</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_Toc502048638 \h </w:instrText>
            </w:r>
            <w:r w:rsidR="002A468A" w:rsidRPr="004B035C">
              <w:rPr>
                <w:noProof/>
                <w:webHidden/>
              </w:rPr>
            </w:r>
            <w:r w:rsidR="002A468A" w:rsidRPr="004B035C">
              <w:rPr>
                <w:noProof/>
                <w:webHidden/>
              </w:rPr>
              <w:fldChar w:fldCharType="separate"/>
            </w:r>
            <w:r w:rsidR="00EE6CF5">
              <w:rPr>
                <w:noProof/>
                <w:webHidden/>
              </w:rPr>
              <w:t>102</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_Toc502048639 \h </w:instrText>
            </w:r>
            <w:r w:rsidR="002A468A" w:rsidRPr="004B035C">
              <w:rPr>
                <w:noProof/>
                <w:webHidden/>
              </w:rPr>
            </w:r>
            <w:r w:rsidR="002A468A" w:rsidRPr="004B035C">
              <w:rPr>
                <w:noProof/>
                <w:webHidden/>
              </w:rPr>
              <w:fldChar w:fldCharType="separate"/>
            </w:r>
            <w:r w:rsidR="00EE6CF5">
              <w:rPr>
                <w:noProof/>
                <w:webHidden/>
              </w:rPr>
              <w:t>103</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2A468A" w:rsidRPr="004B035C">
              <w:rPr>
                <w:noProof/>
                <w:webHidden/>
              </w:rPr>
              <w:fldChar w:fldCharType="begin"/>
            </w:r>
            <w:r w:rsidR="004B035C" w:rsidRPr="004B035C">
              <w:rPr>
                <w:noProof/>
                <w:webHidden/>
              </w:rPr>
              <w:instrText xml:space="preserve"> PAGEREF _Toc502048640 \h </w:instrText>
            </w:r>
            <w:r w:rsidR="002A468A" w:rsidRPr="004B035C">
              <w:rPr>
                <w:noProof/>
                <w:webHidden/>
              </w:rPr>
            </w:r>
            <w:r w:rsidR="002A468A" w:rsidRPr="004B035C">
              <w:rPr>
                <w:noProof/>
                <w:webHidden/>
              </w:rPr>
              <w:fldChar w:fldCharType="separate"/>
            </w:r>
            <w:r w:rsidR="00EE6CF5">
              <w:rPr>
                <w:noProof/>
                <w:webHidden/>
              </w:rPr>
              <w:t>103</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_Toc502048641 \h </w:instrText>
            </w:r>
            <w:r w:rsidR="002A468A" w:rsidRPr="004B035C">
              <w:rPr>
                <w:noProof/>
                <w:webHidden/>
              </w:rPr>
            </w:r>
            <w:r w:rsidR="002A468A" w:rsidRPr="004B035C">
              <w:rPr>
                <w:noProof/>
                <w:webHidden/>
              </w:rPr>
              <w:fldChar w:fldCharType="separate"/>
            </w:r>
            <w:r w:rsidR="00EE6CF5">
              <w:rPr>
                <w:noProof/>
                <w:webHidden/>
              </w:rPr>
              <w:t>103</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_Toc502048642 \h </w:instrText>
            </w:r>
            <w:r w:rsidR="002A468A" w:rsidRPr="004B035C">
              <w:rPr>
                <w:noProof/>
                <w:webHidden/>
              </w:rPr>
            </w:r>
            <w:r w:rsidR="002A468A" w:rsidRPr="004B035C">
              <w:rPr>
                <w:noProof/>
                <w:webHidden/>
              </w:rPr>
              <w:fldChar w:fldCharType="separate"/>
            </w:r>
            <w:r w:rsidR="00EE6CF5">
              <w:rPr>
                <w:noProof/>
                <w:webHidden/>
              </w:rPr>
              <w:t>104</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_Toc502048643 \h </w:instrText>
            </w:r>
            <w:r w:rsidR="002A468A" w:rsidRPr="004B035C">
              <w:rPr>
                <w:noProof/>
                <w:webHidden/>
              </w:rPr>
            </w:r>
            <w:r w:rsidR="002A468A" w:rsidRPr="004B035C">
              <w:rPr>
                <w:noProof/>
                <w:webHidden/>
              </w:rPr>
              <w:fldChar w:fldCharType="separate"/>
            </w:r>
            <w:r w:rsidR="00EE6CF5">
              <w:rPr>
                <w:noProof/>
                <w:webHidden/>
              </w:rPr>
              <w:t>104</w:t>
            </w:r>
            <w:r w:rsidR="002A468A" w:rsidRPr="004B035C">
              <w:rPr>
                <w:noProof/>
                <w:webHidden/>
              </w:rPr>
              <w:fldChar w:fldCharType="end"/>
            </w:r>
          </w:hyperlink>
        </w:p>
        <w:p w:rsidR="004B035C" w:rsidRPr="004B035C" w:rsidRDefault="000C6F8A"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_Toc502048644 \h </w:instrText>
            </w:r>
            <w:r w:rsidR="002A468A" w:rsidRPr="004B035C">
              <w:rPr>
                <w:noProof/>
                <w:webHidden/>
              </w:rPr>
            </w:r>
            <w:r w:rsidR="002A468A" w:rsidRPr="004B035C">
              <w:rPr>
                <w:noProof/>
                <w:webHidden/>
              </w:rPr>
              <w:fldChar w:fldCharType="separate"/>
            </w:r>
            <w:r w:rsidR="00EE6CF5">
              <w:rPr>
                <w:noProof/>
                <w:webHidden/>
              </w:rPr>
              <w:t>105</w:t>
            </w:r>
            <w:r w:rsidR="002A468A" w:rsidRPr="004B035C">
              <w:rPr>
                <w:noProof/>
                <w:webHidden/>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109</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_Toc502048646 \h </w:instrText>
            </w:r>
            <w:r w:rsidR="002A468A" w:rsidRPr="004B035C">
              <w:rPr>
                <w:noProof/>
                <w:webHidden/>
              </w:rPr>
            </w:r>
            <w:r w:rsidR="002A468A" w:rsidRPr="004B035C">
              <w:rPr>
                <w:noProof/>
                <w:webHidden/>
              </w:rPr>
              <w:fldChar w:fldCharType="separate"/>
            </w:r>
            <w:r w:rsidR="00EE6CF5">
              <w:rPr>
                <w:noProof/>
                <w:webHidden/>
              </w:rPr>
              <w:t>109</w:t>
            </w:r>
            <w:r w:rsidR="002A468A" w:rsidRPr="004B035C">
              <w:rPr>
                <w:noProof/>
                <w:webHidden/>
              </w:rPr>
              <w:fldChar w:fldCharType="end"/>
            </w:r>
          </w:hyperlink>
        </w:p>
        <w:p w:rsidR="004B035C" w:rsidRPr="004B035C" w:rsidRDefault="000C6F8A"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2A468A" w:rsidRPr="004B035C">
              <w:rPr>
                <w:noProof/>
                <w:webHidden/>
              </w:rPr>
              <w:fldChar w:fldCharType="begin"/>
            </w:r>
            <w:r w:rsidR="004B035C" w:rsidRPr="004B035C">
              <w:rPr>
                <w:noProof/>
                <w:webHidden/>
              </w:rPr>
              <w:instrText xml:space="preserve"> PAGEREF _Toc502048647 \h </w:instrText>
            </w:r>
            <w:r w:rsidR="002A468A" w:rsidRPr="004B035C">
              <w:rPr>
                <w:noProof/>
                <w:webHidden/>
              </w:rPr>
            </w:r>
            <w:r w:rsidR="002A468A" w:rsidRPr="004B035C">
              <w:rPr>
                <w:noProof/>
                <w:webHidden/>
              </w:rPr>
              <w:fldChar w:fldCharType="separate"/>
            </w:r>
            <w:r w:rsidR="00EE6CF5">
              <w:rPr>
                <w:noProof/>
                <w:webHidden/>
              </w:rPr>
              <w:t>117</w:t>
            </w:r>
            <w:r w:rsidR="002A468A" w:rsidRPr="004B035C">
              <w:rPr>
                <w:noProof/>
                <w:webHidden/>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121</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123</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126</w:t>
            </w:r>
            <w:r w:rsidR="002A468A" w:rsidRPr="004B035C">
              <w:rPr>
                <w:rFonts w:ascii="Times New Roman" w:hAnsi="Times New Roman" w:cs="Times New Roman"/>
                <w:noProof/>
                <w:webHidden/>
                <w:sz w:val="28"/>
                <w:szCs w:val="28"/>
              </w:rPr>
              <w:fldChar w:fldCharType="end"/>
            </w:r>
          </w:hyperlink>
        </w:p>
        <w:p w:rsidR="004B035C" w:rsidRPr="004B035C" w:rsidRDefault="000C6F8A"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2A468A"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2A468A" w:rsidRPr="004B035C">
              <w:rPr>
                <w:rFonts w:ascii="Times New Roman" w:hAnsi="Times New Roman" w:cs="Times New Roman"/>
                <w:noProof/>
                <w:webHidden/>
                <w:sz w:val="28"/>
                <w:szCs w:val="28"/>
              </w:rPr>
            </w:r>
            <w:r w:rsidR="002A468A" w:rsidRPr="004B035C">
              <w:rPr>
                <w:rFonts w:ascii="Times New Roman" w:hAnsi="Times New Roman" w:cs="Times New Roman"/>
                <w:noProof/>
                <w:webHidden/>
                <w:sz w:val="28"/>
                <w:szCs w:val="28"/>
              </w:rPr>
              <w:fldChar w:fldCharType="separate"/>
            </w:r>
            <w:r w:rsidR="00EE6CF5">
              <w:rPr>
                <w:rFonts w:ascii="Times New Roman" w:hAnsi="Times New Roman" w:cs="Times New Roman"/>
                <w:noProof/>
                <w:webHidden/>
                <w:sz w:val="28"/>
                <w:szCs w:val="28"/>
              </w:rPr>
              <w:t>129</w:t>
            </w:r>
            <w:r w:rsidR="002A468A" w:rsidRPr="004B035C">
              <w:rPr>
                <w:rFonts w:ascii="Times New Roman" w:hAnsi="Times New Roman" w:cs="Times New Roman"/>
                <w:noProof/>
                <w:webHidden/>
                <w:sz w:val="28"/>
                <w:szCs w:val="28"/>
              </w:rPr>
              <w:fldChar w:fldCharType="end"/>
            </w:r>
          </w:hyperlink>
        </w:p>
        <w:p w:rsidR="004B035C" w:rsidRPr="00394F1F" w:rsidRDefault="002A468A" w:rsidP="004B035C">
          <w:pPr>
            <w:spacing w:after="0" w:line="240" w:lineRule="auto"/>
            <w:jc w:val="both"/>
            <w:rPr>
              <w:rFonts w:ascii="Times New Roman" w:hAnsi="Times New Roman" w:cs="Times New Roman"/>
              <w:color w:val="FF0000"/>
              <w:sz w:val="28"/>
              <w:szCs w:val="28"/>
            </w:rPr>
            <w:sectPr w:rsidR="004B035C" w:rsidRPr="00394F1F" w:rsidSect="007A72D3">
              <w:footerReference w:type="first" r:id="rId9"/>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возобновляемых источников энергии) </w:t>
            </w:r>
            <w:r w:rsidRPr="00394F1F">
              <w:rPr>
                <w:sz w:val="28"/>
                <w:szCs w:val="28"/>
                <w:lang w:val="ru-RU"/>
              </w:rPr>
              <w:lastRenderedPageBreak/>
              <w:t>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w:t>
            </w:r>
            <w:r w:rsidRPr="00394F1F">
              <w:rPr>
                <w:color w:val="000000" w:themeColor="text1"/>
                <w:sz w:val="28"/>
                <w:szCs w:val="28"/>
                <w:lang w:val="ru-RU"/>
              </w:rPr>
              <w:lastRenderedPageBreak/>
              <w:t xml:space="preserve">[1]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 xml:space="preserve">Годовое число часов использования </w:t>
            </w:r>
            <w:r w:rsidRPr="00394F1F">
              <w:rPr>
                <w:rFonts w:ascii="Times New Roman" w:hAnsi="Times New Roman" w:cs="Times New Roman"/>
                <w:sz w:val="28"/>
                <w:szCs w:val="28"/>
              </w:rPr>
              <w:lastRenderedPageBreak/>
              <w:t>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lastRenderedPageBreak/>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lastRenderedPageBreak/>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0"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1">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 xml:space="preserve">до </w:t>
            </w:r>
            <w:r w:rsidRPr="00062BA2">
              <w:rPr>
                <w:rFonts w:ascii="Times New Roman" w:hAnsi="Times New Roman" w:cs="Times New Roman"/>
                <w:sz w:val="28"/>
                <w:szCs w:val="28"/>
              </w:rPr>
              <w:lastRenderedPageBreak/>
              <w:t>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lastRenderedPageBreak/>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lastRenderedPageBreak/>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lastRenderedPageBreak/>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760A65">
        <w:rPr>
          <w:sz w:val="28"/>
          <w:szCs w:val="28"/>
          <w:lang w:val="ru-RU"/>
        </w:rPr>
        <w:t>Белохолмского</w:t>
      </w:r>
      <w:proofErr w:type="spellEnd"/>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r w:rsidRPr="00760A65">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Гаражи и открытые стоянки для постоянного </w:t>
            </w:r>
            <w:r w:rsidRPr="00394F1F">
              <w:rPr>
                <w:rFonts w:ascii="Times New Roman" w:hAnsi="Times New Roman" w:cs="Times New Roman"/>
                <w:sz w:val="28"/>
                <w:szCs w:val="28"/>
              </w:rPr>
              <w:lastRenderedPageBreak/>
              <w:t>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Лечебные учреждения со </w:t>
            </w:r>
            <w:r w:rsidRPr="00E454C3">
              <w:rPr>
                <w:rFonts w:ascii="Times New Roman" w:hAnsi="Times New Roman" w:cs="Times New Roman"/>
                <w:bCs/>
                <w:sz w:val="28"/>
                <w:szCs w:val="28"/>
              </w:rPr>
              <w:lastRenderedPageBreak/>
              <w:t>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lastRenderedPageBreak/>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мест в залах или единовременных </w:t>
            </w:r>
            <w:r w:rsidRPr="00E454C3">
              <w:rPr>
                <w:rFonts w:ascii="Times New Roman" w:hAnsi="Times New Roman" w:cs="Times New Roman"/>
                <w:kern w:val="1"/>
                <w:sz w:val="28"/>
                <w:szCs w:val="28"/>
                <w:lang w:eastAsia="hi-IN" w:bidi="hi-IN"/>
              </w:rPr>
              <w:lastRenderedPageBreak/>
              <w:t>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единовременных </w:t>
            </w:r>
            <w:r w:rsidRPr="00E454C3">
              <w:rPr>
                <w:rFonts w:ascii="Times New Roman" w:hAnsi="Times New Roman" w:cs="Times New Roman"/>
                <w:kern w:val="1"/>
                <w:sz w:val="28"/>
                <w:szCs w:val="28"/>
                <w:lang w:eastAsia="hi-IN" w:bidi="hi-IN"/>
              </w:rPr>
              <w:lastRenderedPageBreak/>
              <w:t>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машинно-мест следует принимать при уровнях автомобилизации, </w:t>
            </w:r>
            <w:r w:rsidRPr="00E454C3">
              <w:rPr>
                <w:rFonts w:ascii="Times New Roman" w:hAnsi="Times New Roman" w:cs="Times New Roman"/>
                <w:kern w:val="1"/>
                <w:sz w:val="28"/>
                <w:szCs w:val="28"/>
                <w:lang w:eastAsia="hi-IN" w:bidi="hi-IN"/>
              </w:rPr>
              <w:lastRenderedPageBreak/>
              <w:t>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E0AAC">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E0AAC">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w:t>
            </w:r>
            <w:r w:rsidRPr="0055494D">
              <w:rPr>
                <w:rFonts w:ascii="Times New Roman" w:hAnsi="Times New Roman" w:cs="Times New Roman"/>
                <w:sz w:val="28"/>
                <w:szCs w:val="28"/>
              </w:rPr>
              <w:lastRenderedPageBreak/>
              <w:t>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w:t>
            </w:r>
            <w:r w:rsidRPr="0055494D">
              <w:rPr>
                <w:rFonts w:ascii="Times New Roman" w:hAnsi="Times New Roman" w:cs="Times New Roman"/>
                <w:sz w:val="28"/>
                <w:szCs w:val="28"/>
              </w:rPr>
              <w:lastRenderedPageBreak/>
              <w:t>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lastRenderedPageBreak/>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Смоленской области «Планировка и застройка городов и иных населенных пунктов Смоленской </w:t>
      </w:r>
      <w:r w:rsidRPr="00B91405">
        <w:rPr>
          <w:sz w:val="28"/>
          <w:szCs w:val="28"/>
        </w:rPr>
        <w:lastRenderedPageBreak/>
        <w:t>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0C6F8A" w:rsidP="00B91405">
      <w:pPr>
        <w:pStyle w:val="afd"/>
        <w:numPr>
          <w:ilvl w:val="0"/>
          <w:numId w:val="12"/>
        </w:numPr>
        <w:tabs>
          <w:tab w:val="left" w:pos="1134"/>
        </w:tabs>
        <w:spacing w:after="0"/>
        <w:ind w:left="0" w:right="107" w:firstLine="709"/>
        <w:jc w:val="both"/>
        <w:rPr>
          <w:sz w:val="28"/>
          <w:szCs w:val="28"/>
        </w:rPr>
      </w:pPr>
      <w:hyperlink r:id="rId12"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0C6F8A" w:rsidP="00B1792E">
      <w:pPr>
        <w:pStyle w:val="afd"/>
        <w:numPr>
          <w:ilvl w:val="0"/>
          <w:numId w:val="12"/>
        </w:numPr>
        <w:tabs>
          <w:tab w:val="left" w:pos="1134"/>
        </w:tabs>
        <w:spacing w:after="0"/>
        <w:ind w:left="0" w:right="107" w:firstLine="709"/>
        <w:jc w:val="both"/>
        <w:rPr>
          <w:sz w:val="28"/>
          <w:szCs w:val="28"/>
        </w:rPr>
      </w:pPr>
      <w:hyperlink r:id="rId13"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4">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5">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lastRenderedPageBreak/>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 xml:space="preserve">Территория </w:t>
      </w:r>
      <w:proofErr w:type="spellStart"/>
      <w:r w:rsidRPr="00760A65">
        <w:rPr>
          <w:sz w:val="28"/>
          <w:szCs w:val="28"/>
        </w:rPr>
        <w:t>Белохолмского</w:t>
      </w:r>
      <w:proofErr w:type="spellEnd"/>
      <w:r w:rsidRPr="00760A65">
        <w:rPr>
          <w:sz w:val="28"/>
          <w:szCs w:val="28"/>
        </w:rPr>
        <w:t xml:space="preserve"> сельского поселения расположена в восточной части </w:t>
      </w:r>
      <w:proofErr w:type="spellStart"/>
      <w:r w:rsidRPr="00760A65">
        <w:rPr>
          <w:sz w:val="28"/>
          <w:szCs w:val="28"/>
        </w:rPr>
        <w:t>Глинковского</w:t>
      </w:r>
      <w:proofErr w:type="spellEnd"/>
      <w:r w:rsidRPr="00760A65">
        <w:rPr>
          <w:sz w:val="28"/>
          <w:szCs w:val="28"/>
        </w:rPr>
        <w:t xml:space="preserve"> района.</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Граничит с территориями:</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 xml:space="preserve">на севере — с </w:t>
      </w:r>
      <w:proofErr w:type="spellStart"/>
      <w:r w:rsidRPr="00760A65">
        <w:rPr>
          <w:sz w:val="28"/>
          <w:szCs w:val="28"/>
        </w:rPr>
        <w:t>Доброминским</w:t>
      </w:r>
      <w:proofErr w:type="spellEnd"/>
      <w:r w:rsidRPr="00760A65">
        <w:rPr>
          <w:sz w:val="28"/>
          <w:szCs w:val="28"/>
        </w:rPr>
        <w:t xml:space="preserve"> сельским поселением, на востоке — с </w:t>
      </w:r>
      <w:proofErr w:type="spellStart"/>
      <w:r w:rsidRPr="00760A65">
        <w:rPr>
          <w:sz w:val="28"/>
          <w:szCs w:val="28"/>
        </w:rPr>
        <w:t>Глинковским</w:t>
      </w:r>
      <w:proofErr w:type="spellEnd"/>
      <w:r w:rsidRPr="00760A65">
        <w:rPr>
          <w:sz w:val="28"/>
          <w:szCs w:val="28"/>
        </w:rPr>
        <w:t xml:space="preserve"> сельским поселением, на юго-востоке — с </w:t>
      </w:r>
      <w:proofErr w:type="spellStart"/>
      <w:r w:rsidRPr="00760A65">
        <w:rPr>
          <w:sz w:val="28"/>
          <w:szCs w:val="28"/>
        </w:rPr>
        <w:t>Болтутинским</w:t>
      </w:r>
      <w:proofErr w:type="spellEnd"/>
      <w:r w:rsidRPr="00760A65">
        <w:rPr>
          <w:sz w:val="28"/>
          <w:szCs w:val="28"/>
        </w:rPr>
        <w:t xml:space="preserve"> сельским поселением, на юге и юго-западе — с </w:t>
      </w:r>
      <w:proofErr w:type="spellStart"/>
      <w:r w:rsidRPr="00760A65">
        <w:rPr>
          <w:sz w:val="28"/>
          <w:szCs w:val="28"/>
        </w:rPr>
        <w:t>Починковским</w:t>
      </w:r>
      <w:proofErr w:type="spellEnd"/>
      <w:r w:rsidRPr="00760A65">
        <w:rPr>
          <w:sz w:val="28"/>
          <w:szCs w:val="28"/>
        </w:rPr>
        <w:t xml:space="preserve"> районом, на западе — с </w:t>
      </w:r>
      <w:proofErr w:type="spellStart"/>
      <w:r w:rsidRPr="00760A65">
        <w:rPr>
          <w:sz w:val="28"/>
          <w:szCs w:val="28"/>
        </w:rPr>
        <w:t>Кардымовским</w:t>
      </w:r>
      <w:proofErr w:type="spellEnd"/>
      <w:r w:rsidRPr="00760A65">
        <w:rPr>
          <w:sz w:val="28"/>
          <w:szCs w:val="28"/>
        </w:rPr>
        <w:t xml:space="preserve"> районом.</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lastRenderedPageBreak/>
        <w:t>По территории поселения проходит железная дорога Смоленск - Сухиничи.</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Крупные реки: Днепр, Волость.</w:t>
      </w:r>
    </w:p>
    <w:p w:rsidR="00760A65" w:rsidRPr="00760A65" w:rsidRDefault="00760A65" w:rsidP="00760A65">
      <w:pPr>
        <w:pStyle w:val="aff0"/>
        <w:suppressAutoHyphens/>
        <w:spacing w:before="0" w:beforeAutospacing="0" w:after="0" w:afterAutospacing="0"/>
        <w:ind w:firstLine="709"/>
        <w:contextualSpacing/>
        <w:jc w:val="both"/>
        <w:rPr>
          <w:sz w:val="28"/>
          <w:szCs w:val="28"/>
        </w:rPr>
      </w:pPr>
      <w:r w:rsidRPr="00760A65">
        <w:rPr>
          <w:sz w:val="28"/>
          <w:szCs w:val="28"/>
        </w:rPr>
        <w:t xml:space="preserve">В состав </w:t>
      </w:r>
      <w:proofErr w:type="spellStart"/>
      <w:r w:rsidRPr="00760A65">
        <w:rPr>
          <w:sz w:val="28"/>
          <w:szCs w:val="28"/>
        </w:rPr>
        <w:t>Белохолмского</w:t>
      </w:r>
      <w:proofErr w:type="spellEnd"/>
      <w:r w:rsidRPr="00760A65">
        <w:rPr>
          <w:sz w:val="28"/>
          <w:szCs w:val="28"/>
        </w:rPr>
        <w:t xml:space="preserve"> сельского поселения входят 12 населённых пунктов: Деревня Белый Холм — административный центр, село </w:t>
      </w:r>
      <w:hyperlink r:id="rId16" w:tooltip="Бизюково (Холм-Жирковский район)" w:history="1">
        <w:proofErr w:type="spellStart"/>
        <w:r w:rsidRPr="00760A65">
          <w:rPr>
            <w:sz w:val="28"/>
            <w:szCs w:val="28"/>
          </w:rPr>
          <w:t>Дубосище</w:t>
        </w:r>
        <w:proofErr w:type="spellEnd"/>
      </w:hyperlink>
      <w:r w:rsidRPr="00760A65">
        <w:rPr>
          <w:sz w:val="28"/>
          <w:szCs w:val="28"/>
        </w:rPr>
        <w:t xml:space="preserve">, </w:t>
      </w:r>
      <w:hyperlink r:id="rId17" w:tooltip="Ерютино" w:history="1">
        <w:r w:rsidRPr="00760A65">
          <w:rPr>
            <w:sz w:val="28"/>
            <w:szCs w:val="28"/>
          </w:rPr>
          <w:t>деревни</w:t>
        </w:r>
      </w:hyperlink>
      <w:r w:rsidRPr="00760A65">
        <w:rPr>
          <w:sz w:val="28"/>
          <w:szCs w:val="28"/>
        </w:rPr>
        <w:t xml:space="preserve"> </w:t>
      </w:r>
      <w:proofErr w:type="spellStart"/>
      <w:r w:rsidRPr="00760A65">
        <w:rPr>
          <w:sz w:val="28"/>
          <w:szCs w:val="28"/>
        </w:rPr>
        <w:t>Болотово</w:t>
      </w:r>
      <w:proofErr w:type="spellEnd"/>
      <w:r w:rsidRPr="00760A65">
        <w:rPr>
          <w:sz w:val="28"/>
          <w:szCs w:val="28"/>
        </w:rPr>
        <w:t xml:space="preserve">, </w:t>
      </w:r>
      <w:hyperlink r:id="rId18" w:tooltip="Иванково (Холм-Жирковский район)" w:history="1">
        <w:proofErr w:type="spellStart"/>
        <w:r w:rsidRPr="00760A65">
          <w:rPr>
            <w:sz w:val="28"/>
            <w:szCs w:val="28"/>
          </w:rPr>
          <w:t>Воротнино</w:t>
        </w:r>
        <w:proofErr w:type="spellEnd"/>
      </w:hyperlink>
      <w:r w:rsidRPr="00760A65">
        <w:rPr>
          <w:sz w:val="28"/>
          <w:szCs w:val="28"/>
        </w:rPr>
        <w:t xml:space="preserve">, </w:t>
      </w:r>
      <w:hyperlink r:id="rId19" w:tooltip="Мосолово (Холм-Жирковский район)" w:history="1">
        <w:proofErr w:type="spellStart"/>
        <w:r w:rsidRPr="00760A65">
          <w:rPr>
            <w:sz w:val="28"/>
            <w:szCs w:val="28"/>
          </w:rPr>
          <w:t>Дубосище</w:t>
        </w:r>
        <w:proofErr w:type="spellEnd"/>
      </w:hyperlink>
      <w:r w:rsidRPr="00760A65">
        <w:rPr>
          <w:sz w:val="28"/>
          <w:szCs w:val="28"/>
        </w:rPr>
        <w:t xml:space="preserve">, </w:t>
      </w:r>
      <w:hyperlink r:id="rId20" w:tooltip="Ново-Ивановское (Смоленская область)" w:history="1">
        <w:r w:rsidRPr="00760A65">
          <w:rPr>
            <w:sz w:val="28"/>
            <w:szCs w:val="28"/>
          </w:rPr>
          <w:t>Козлово</w:t>
        </w:r>
      </w:hyperlink>
      <w:r w:rsidRPr="00760A65">
        <w:rPr>
          <w:sz w:val="28"/>
          <w:szCs w:val="28"/>
        </w:rPr>
        <w:t xml:space="preserve">, </w:t>
      </w:r>
      <w:hyperlink r:id="rId21" w:tooltip="Петренино" w:history="1">
        <w:proofErr w:type="spellStart"/>
        <w:r w:rsidRPr="00760A65">
          <w:rPr>
            <w:sz w:val="28"/>
            <w:szCs w:val="28"/>
          </w:rPr>
          <w:t>Конщино</w:t>
        </w:r>
        <w:proofErr w:type="spellEnd"/>
      </w:hyperlink>
      <w:r w:rsidRPr="00760A65">
        <w:rPr>
          <w:sz w:val="28"/>
          <w:szCs w:val="28"/>
        </w:rPr>
        <w:t xml:space="preserve">, </w:t>
      </w:r>
      <w:hyperlink r:id="rId22" w:tooltip="Родионово (Холм-Жирковский район)" w:history="1">
        <w:proofErr w:type="spellStart"/>
        <w:r w:rsidRPr="00760A65">
          <w:rPr>
            <w:sz w:val="28"/>
            <w:szCs w:val="28"/>
          </w:rPr>
          <w:t>Ляхово</w:t>
        </w:r>
        <w:proofErr w:type="spellEnd"/>
      </w:hyperlink>
      <w:r w:rsidRPr="00760A65">
        <w:rPr>
          <w:sz w:val="28"/>
          <w:szCs w:val="28"/>
        </w:rPr>
        <w:t xml:space="preserve">, </w:t>
      </w:r>
      <w:hyperlink r:id="rId23" w:tooltip="Сергейково (Холм-Жирковский район)" w:history="1">
        <w:r w:rsidRPr="00760A65">
          <w:rPr>
            <w:sz w:val="28"/>
            <w:szCs w:val="28"/>
          </w:rPr>
          <w:t>Орлово</w:t>
        </w:r>
      </w:hyperlink>
      <w:r w:rsidRPr="00760A65">
        <w:rPr>
          <w:sz w:val="28"/>
          <w:szCs w:val="28"/>
        </w:rPr>
        <w:t xml:space="preserve">, </w:t>
      </w:r>
      <w:proofErr w:type="spellStart"/>
      <w:r w:rsidRPr="00760A65">
        <w:rPr>
          <w:sz w:val="28"/>
          <w:szCs w:val="28"/>
        </w:rPr>
        <w:t>Першиково</w:t>
      </w:r>
      <w:proofErr w:type="spellEnd"/>
      <w:r w:rsidRPr="00760A65">
        <w:rPr>
          <w:sz w:val="28"/>
          <w:szCs w:val="28"/>
        </w:rPr>
        <w:t xml:space="preserve">, </w:t>
      </w:r>
      <w:proofErr w:type="spellStart"/>
      <w:r w:rsidRPr="00760A65">
        <w:rPr>
          <w:sz w:val="28"/>
          <w:szCs w:val="28"/>
        </w:rPr>
        <w:t>Тимошово</w:t>
      </w:r>
      <w:proofErr w:type="spellEnd"/>
      <w:r w:rsidRPr="00760A65">
        <w:rPr>
          <w:sz w:val="28"/>
          <w:szCs w:val="28"/>
        </w:rPr>
        <w:t xml:space="preserve">, </w:t>
      </w:r>
      <w:proofErr w:type="spellStart"/>
      <w:r w:rsidRPr="00760A65">
        <w:rPr>
          <w:sz w:val="28"/>
          <w:szCs w:val="28"/>
        </w:rPr>
        <w:t>Хлопнино</w:t>
      </w:r>
      <w:proofErr w:type="spellEnd"/>
      <w:r w:rsidRPr="00760A65">
        <w:rPr>
          <w:sz w:val="28"/>
          <w:szCs w:val="28"/>
        </w:rPr>
        <w:t>.</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lastRenderedPageBreak/>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w:t>
      </w:r>
      <w:r w:rsidRPr="00394F1F">
        <w:rPr>
          <w:sz w:val="28"/>
          <w:szCs w:val="28"/>
        </w:rPr>
        <w:lastRenderedPageBreak/>
        <w:t xml:space="preserve">тепловой энергии на отопление зданий, отнесенной к 1 кв. м общей площади и с учётом климатических данных по территории </w:t>
      </w:r>
      <w:proofErr w:type="spellStart"/>
      <w:r w:rsidR="00760A65">
        <w:rPr>
          <w:sz w:val="28"/>
          <w:szCs w:val="28"/>
        </w:rPr>
        <w:t>Белохолмского</w:t>
      </w:r>
      <w:proofErr w:type="spellEnd"/>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lastRenderedPageBreak/>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w:t>
      </w:r>
      <w:r w:rsidRPr="00394F1F">
        <w:rPr>
          <w:sz w:val="28"/>
          <w:szCs w:val="28"/>
        </w:rPr>
        <w:lastRenderedPageBreak/>
        <w:t>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lastRenderedPageBreak/>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760A65">
        <w:rPr>
          <w:sz w:val="28"/>
          <w:szCs w:val="28"/>
        </w:rPr>
        <w:t>Белохолмского</w:t>
      </w:r>
      <w:proofErr w:type="spellEnd"/>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lastRenderedPageBreak/>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lastRenderedPageBreak/>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760A65" w:rsidRPr="00394F1F" w:rsidRDefault="00760A65"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760A65">
        <w:rPr>
          <w:sz w:val="28"/>
          <w:szCs w:val="28"/>
        </w:rPr>
        <w:t>Белохолмского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760A65">
        <w:rPr>
          <w:sz w:val="28"/>
          <w:szCs w:val="28"/>
        </w:rPr>
        <w:t>Белохолмского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760A65">
        <w:rPr>
          <w:sz w:val="28"/>
          <w:szCs w:val="28"/>
        </w:rPr>
        <w:t>Белохолмского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lastRenderedPageBreak/>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760A65">
        <w:rPr>
          <w:sz w:val="28"/>
          <w:szCs w:val="28"/>
        </w:rPr>
        <w:t>Белохолмского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lastRenderedPageBreak/>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 xml:space="preserve">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w:t>
      </w:r>
      <w:r w:rsidRPr="00394F1F">
        <w:rPr>
          <w:sz w:val="28"/>
          <w:szCs w:val="28"/>
        </w:rPr>
        <w:lastRenderedPageBreak/>
        <w:t>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760A65">
        <w:rPr>
          <w:sz w:val="28"/>
          <w:szCs w:val="28"/>
        </w:rPr>
        <w:t>Белохолмского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Default="0018766D" w:rsidP="004D163A">
      <w:pPr>
        <w:pStyle w:val="afd"/>
        <w:spacing w:after="0"/>
        <w:ind w:firstLine="709"/>
        <w:jc w:val="both"/>
        <w:rPr>
          <w:sz w:val="28"/>
          <w:szCs w:val="28"/>
        </w:rPr>
      </w:pPr>
    </w:p>
    <w:p w:rsidR="00760A65" w:rsidRDefault="00760A65" w:rsidP="004D163A">
      <w:pPr>
        <w:pStyle w:val="afd"/>
        <w:spacing w:after="0"/>
        <w:ind w:firstLine="709"/>
        <w:jc w:val="both"/>
        <w:rPr>
          <w:sz w:val="28"/>
          <w:szCs w:val="28"/>
        </w:rPr>
      </w:pPr>
    </w:p>
    <w:p w:rsidR="00760A65" w:rsidRPr="00394F1F" w:rsidRDefault="00760A65"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lastRenderedPageBreak/>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lastRenderedPageBreak/>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относящихся к области фармацевтики, установлены для </w:t>
      </w:r>
      <w:r w:rsidRPr="00394F1F">
        <w:rPr>
          <w:sz w:val="28"/>
          <w:szCs w:val="28"/>
        </w:rPr>
        <w:lastRenderedPageBreak/>
        <w:t>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760A65" w:rsidRPr="00394F1F" w:rsidRDefault="00760A65"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760A65">
        <w:rPr>
          <w:sz w:val="28"/>
          <w:szCs w:val="28"/>
        </w:rPr>
        <w:t>Белохолмского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w:t>
      </w:r>
      <w:r w:rsidRPr="00394F1F">
        <w:rPr>
          <w:sz w:val="28"/>
          <w:szCs w:val="28"/>
        </w:rPr>
        <w:lastRenderedPageBreak/>
        <w:t>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760A65" w:rsidRDefault="00760A65" w:rsidP="004D163A">
      <w:pPr>
        <w:pStyle w:val="afd"/>
        <w:spacing w:after="0"/>
        <w:ind w:firstLine="709"/>
        <w:jc w:val="both"/>
        <w:rPr>
          <w:sz w:val="28"/>
          <w:szCs w:val="28"/>
        </w:rPr>
      </w:pPr>
    </w:p>
    <w:p w:rsidR="00760A65" w:rsidRDefault="00760A65" w:rsidP="004D163A">
      <w:pPr>
        <w:pStyle w:val="afd"/>
        <w:spacing w:after="0"/>
        <w:ind w:firstLine="709"/>
        <w:jc w:val="both"/>
        <w:rPr>
          <w:sz w:val="28"/>
          <w:szCs w:val="28"/>
        </w:rPr>
      </w:pPr>
    </w:p>
    <w:p w:rsidR="00760A65" w:rsidRPr="00394F1F" w:rsidRDefault="00760A65" w:rsidP="004D163A">
      <w:pPr>
        <w:pStyle w:val="afd"/>
        <w:spacing w:after="0"/>
        <w:ind w:firstLine="709"/>
        <w:jc w:val="both"/>
        <w:rPr>
          <w:sz w:val="28"/>
          <w:szCs w:val="28"/>
        </w:rPr>
      </w:pP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lastRenderedPageBreak/>
        <w:t xml:space="preserve">Размещение объектов и их групп не допускается (ограничения установлены в соответствии с п. 4.4 СП 18.13330.2011 применительно к </w:t>
      </w:r>
      <w:proofErr w:type="spellStart"/>
      <w:r w:rsidR="00760A65">
        <w:rPr>
          <w:sz w:val="28"/>
          <w:szCs w:val="28"/>
        </w:rPr>
        <w:t>Белохолмскому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 xml:space="preserve">садово-дачную </w:t>
      </w:r>
      <w:r w:rsidRPr="00394F1F">
        <w:rPr>
          <w:sz w:val="28"/>
          <w:szCs w:val="28"/>
        </w:rPr>
        <w:lastRenderedPageBreak/>
        <w:t>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w:t>
      </w:r>
      <w:r w:rsidRPr="00394F1F">
        <w:rPr>
          <w:sz w:val="28"/>
          <w:szCs w:val="28"/>
        </w:rPr>
        <w:lastRenderedPageBreak/>
        <w:t xml:space="preserve">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w:t>
      </w:r>
      <w:r w:rsidRPr="00394F1F">
        <w:rPr>
          <w:sz w:val="28"/>
          <w:szCs w:val="28"/>
        </w:rPr>
        <w:lastRenderedPageBreak/>
        <w:t>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760A65">
        <w:rPr>
          <w:sz w:val="28"/>
          <w:szCs w:val="28"/>
        </w:rPr>
        <w:t>Белохолмскому</w:t>
      </w:r>
      <w:proofErr w:type="spellEnd"/>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760A65" w:rsidRDefault="00760A65"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w:t>
            </w:r>
            <w:r w:rsidR="00632306" w:rsidRPr="00394F1F">
              <w:rPr>
                <w:rFonts w:ascii="Times New Roman" w:hAnsi="Times New Roman" w:cs="Times New Roman"/>
                <w:sz w:val="28"/>
                <w:szCs w:val="28"/>
              </w:rPr>
              <w:lastRenderedPageBreak/>
              <w:t>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с возможным самостоятельным </w:t>
            </w:r>
            <w:r w:rsidRPr="00394F1F">
              <w:rPr>
                <w:rFonts w:ascii="Times New Roman" w:hAnsi="Times New Roman" w:cs="Times New Roman"/>
                <w:sz w:val="28"/>
                <w:szCs w:val="28"/>
              </w:rPr>
              <w:lastRenderedPageBreak/>
              <w:t>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lastRenderedPageBreak/>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760A65">
        <w:rPr>
          <w:sz w:val="28"/>
          <w:szCs w:val="28"/>
        </w:rPr>
        <w:t>Белохолмского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w:t>
      </w:r>
      <w:r w:rsidRPr="00394F1F">
        <w:rPr>
          <w:rFonts w:ascii="Times New Roman" w:hAnsi="Times New Roman" w:cs="Times New Roman"/>
          <w:sz w:val="28"/>
          <w:szCs w:val="28"/>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w:t>
      </w:r>
      <w:r w:rsidRPr="00394F1F">
        <w:rPr>
          <w:sz w:val="28"/>
          <w:szCs w:val="28"/>
        </w:rPr>
        <w:lastRenderedPageBreak/>
        <w:t>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760A65">
        <w:rPr>
          <w:sz w:val="28"/>
          <w:szCs w:val="28"/>
        </w:rPr>
        <w:t>Белохолмского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w:t>
      </w:r>
      <w:r w:rsidRPr="00394F1F">
        <w:rPr>
          <w:sz w:val="28"/>
          <w:szCs w:val="28"/>
        </w:rPr>
        <w:lastRenderedPageBreak/>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w:t>
      </w:r>
      <w:r w:rsidRPr="00394F1F">
        <w:rPr>
          <w:sz w:val="28"/>
          <w:szCs w:val="28"/>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w:t>
      </w:r>
      <w:r w:rsidRPr="00394F1F">
        <w:rPr>
          <w:sz w:val="28"/>
          <w:szCs w:val="28"/>
        </w:rPr>
        <w:lastRenderedPageBreak/>
        <w:t xml:space="preserve">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760A65">
        <w:rPr>
          <w:sz w:val="28"/>
          <w:szCs w:val="28"/>
        </w:rPr>
        <w:t>Белохолмского</w:t>
      </w:r>
      <w:proofErr w:type="spellEnd"/>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lastRenderedPageBreak/>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r w:rsidRPr="00394F1F">
        <w:rPr>
          <w:sz w:val="28"/>
          <w:szCs w:val="28"/>
        </w:rPr>
        <w:lastRenderedPageBreak/>
        <w:t>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балконов, эркеров, козырьков – не более 2,0 метров и не ниже </w:t>
      </w:r>
      <w:r w:rsidRPr="00394F1F">
        <w:rPr>
          <w:rFonts w:ascii="Times New Roman" w:hAnsi="Times New Roman" w:cs="Times New Roman"/>
          <w:sz w:val="28"/>
          <w:szCs w:val="28"/>
        </w:rPr>
        <w:lastRenderedPageBreak/>
        <w:t>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760A65">
        <w:rPr>
          <w:rFonts w:ascii="Times New Roman" w:hAnsi="Times New Roman" w:cs="Times New Roman"/>
          <w:sz w:val="28"/>
          <w:szCs w:val="28"/>
        </w:rPr>
        <w:t>Белохолмского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w:t>
      </w:r>
      <w:r w:rsidRPr="00394F1F">
        <w:rPr>
          <w:rFonts w:ascii="Times New Roman" w:hAnsi="Times New Roman" w:cs="Times New Roman"/>
          <w:sz w:val="28"/>
          <w:szCs w:val="28"/>
        </w:rPr>
        <w:lastRenderedPageBreak/>
        <w:t>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760A65" w:rsidP="004D163A">
            <w:pPr>
              <w:pStyle w:val="TableParagraph"/>
              <w:ind w:right="87"/>
              <w:rPr>
                <w:sz w:val="28"/>
                <w:szCs w:val="28"/>
                <w:lang w:val="ru-RU"/>
              </w:rPr>
            </w:pPr>
            <w:proofErr w:type="spellStart"/>
            <w:r>
              <w:rPr>
                <w:sz w:val="28"/>
                <w:szCs w:val="28"/>
                <w:lang w:val="ru-RU"/>
              </w:rPr>
              <w:t>Белохолмское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760A65">
              <w:rPr>
                <w:sz w:val="28"/>
                <w:szCs w:val="28"/>
                <w:lang w:val="ru-RU"/>
              </w:rPr>
              <w:t>Белохолмского</w:t>
            </w:r>
            <w:proofErr w:type="spellEnd"/>
            <w:r w:rsidRPr="00394F1F">
              <w:rPr>
                <w:sz w:val="28"/>
                <w:szCs w:val="28"/>
                <w:lang w:val="ru-RU"/>
              </w:rPr>
              <w:t xml:space="preserve"> сельского поселения, МНГП </w:t>
            </w:r>
            <w:proofErr w:type="spellStart"/>
            <w:r w:rsidR="00760A65">
              <w:rPr>
                <w:sz w:val="28"/>
                <w:szCs w:val="28"/>
                <w:lang w:val="ru-RU"/>
              </w:rPr>
              <w:t>Белохолмского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760A65">
              <w:rPr>
                <w:sz w:val="28"/>
                <w:szCs w:val="28"/>
                <w:lang w:val="ru-RU"/>
              </w:rPr>
              <w:t>Белохолмского</w:t>
            </w:r>
            <w:proofErr w:type="spellEnd"/>
            <w:r w:rsidRPr="00394F1F">
              <w:rPr>
                <w:sz w:val="28"/>
                <w:szCs w:val="28"/>
                <w:lang w:val="ru-RU"/>
              </w:rPr>
              <w:t xml:space="preserve"> сельского поселения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760A65">
        <w:rPr>
          <w:sz w:val="28"/>
          <w:szCs w:val="28"/>
        </w:rPr>
        <w:t>Белохолмского</w:t>
      </w:r>
      <w:proofErr w:type="spellEnd"/>
      <w:r w:rsidRPr="00394F1F">
        <w:rPr>
          <w:sz w:val="28"/>
          <w:szCs w:val="28"/>
        </w:rPr>
        <w:t xml:space="preserve"> сельского поселения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8A" w:rsidRDefault="000C6F8A" w:rsidP="0027659D">
      <w:pPr>
        <w:spacing w:after="0" w:line="240" w:lineRule="auto"/>
      </w:pPr>
      <w:r>
        <w:separator/>
      </w:r>
    </w:p>
  </w:endnote>
  <w:endnote w:type="continuationSeparator" w:id="0">
    <w:p w:rsidR="000C6F8A" w:rsidRDefault="000C6F8A"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8A" w:rsidRDefault="000C6F8A" w:rsidP="0027659D">
      <w:pPr>
        <w:spacing w:after="0" w:line="240" w:lineRule="auto"/>
      </w:pPr>
      <w:r>
        <w:separator/>
      </w:r>
    </w:p>
  </w:footnote>
  <w:footnote w:type="continuationSeparator" w:id="0">
    <w:p w:rsidR="000C6F8A" w:rsidRDefault="000C6F8A"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6F8A"/>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468A"/>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A65"/>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2A2C"/>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2BF1"/>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223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E6CF5"/>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56B55"/>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4A5E"/>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0AAC"/>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C4C7C979953EEA3E145CE28q0m9I" TargetMode="External"/><Relationship Id="rId18" Type="http://schemas.openxmlformats.org/officeDocument/2006/relationships/hyperlink" Target="http://ru.wikipedia.org/wiki/%D0%98%D0%B2%D0%B0%D0%BD%D0%BA%D0%BE%D0%B2%D0%BE_(%D0%A5%D0%BE%D0%BB%D0%BC-%D0%96%D0%B8%D1%80%D0%BA%D0%BE%D0%B2%D1%81%D0%BA%D0%B8%D0%B9_%D1%80%D0%B0%D0%B9%D0%BE%D0%BD)"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http://ru.wikipedia.org/wiki/%D0%9F%D0%B5%D1%82%D1%80%D0%B5%D0%BD%D0%B8%D0%BD%D0%B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6A4D78669D02F5015F66DE29DFF15C20F5DEFEAA34E79919C53EEA3E145CE28q0m9I" TargetMode="External"/><Relationship Id="rId17" Type="http://schemas.openxmlformats.org/officeDocument/2006/relationships/hyperlink" Target="http://ru.wikipedia.org/wiki/%D0%95%D1%80%D1%8E%D1%82%D0%B8%D0%BD%D0%BE" TargetMode="Externa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1%D0%B8%D0%B7%D1%8E%D0%BA%D0%BE%D0%B2%D0%BE_(%D0%A5%D0%BE%D0%BB%D0%BC-%D0%96%D0%B8%D1%80%D0%BA%D0%BE%D0%B2%D1%81%D0%BA%D0%B8%D0%B9_%D1%80%D0%B0%D0%B9%D0%BE%D0%BD)" TargetMode="External"/><Relationship Id="rId20" Type="http://schemas.openxmlformats.org/officeDocument/2006/relationships/hyperlink" Target="http://ru.wikipedia.org/wiki/%D0%9D%D0%BE%D0%B2%D0%BE-%D0%98%D0%B2%D0%B0%D0%BD%D0%BE%D0%B2%D1%81%D0%BA%D0%BE%D0%B5_(%D0%A1%D0%BC%D0%BE%D0%BB%D0%B5%D0%BD%D1%81%D0%BA%D0%B0%D1%8F_%D0%BE%D0%B1%D0%BB%D0%B0%D1%81%D1%82%D1%8C)"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51F3AB6719E859034A453BD22014648B3332EF26460AB6FDC6150C0g1mEH" TargetMode="Externa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422BF3913A03A3FF4DDD1D7F5E11E341BF360C6AB4A0655EFBCD16kEB" TargetMode="External"/><Relationship Id="rId23" Type="http://schemas.openxmlformats.org/officeDocument/2006/relationships/hyperlink" Target="http://ru.wikipedia.org/wiki/%D0%A1%D0%B5%D1%80%D0%B3%D0%B5%D0%B9%D0%BA%D0%BE%D0%B2%D0%BE_(%D0%A5%D0%BE%D0%BB%D0%BC-%D0%96%D0%B8%D1%80%D0%BA%D0%BE%D0%B2%D1%81%D0%BA%D0%B8%D0%B9_%D1%80%D0%B0%D0%B9%D0%BE%D0%BD)" TargetMode="External"/><Relationship Id="rId28" Type="http://schemas.openxmlformats.org/officeDocument/2006/relationships/hyperlink" Target="http://integral.ru/download/literatur/2.1.6.1032-01.pdf" TargetMode="External"/><Relationship Id="rId10" Type="http://schemas.openxmlformats.org/officeDocument/2006/relationships/hyperlink" Target="consultantplus://offline/ref=C7B3893B3C99E3A2A15EB197CFEBCD728FB0C571DB30A337E5F0161C0ACBJ" TargetMode="External"/><Relationship Id="rId19" Type="http://schemas.openxmlformats.org/officeDocument/2006/relationships/hyperlink" Target="http://ru.wikipedia.org/wiki/%D0%9C%D0%BE%D1%81%D0%BE%D0%BB%D0%BE%D0%B2%D0%BE_(%D0%A5%D0%BE%D0%BB%D0%BC-%D0%96%D0%B8%D1%80%D0%BA%D0%BE%D0%B2%D1%81%D0%BA%D0%B8%D0%B9_%D1%80%D0%B0%D0%B9%D0%BE%D0%BD)" TargetMode="External"/><Relationship Id="rId31" Type="http://schemas.openxmlformats.org/officeDocument/2006/relationships/hyperlink" Target="consultantplus://offline/ref%3D8F10C197789C5638EBA2C46468E38E41A310FAD3B3766083C2CED6FFuCX2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B55CB70B8807CE15F8F84F8321428183E70A952355926F9978D079F8jDB" TargetMode="External"/><Relationship Id="rId22" Type="http://schemas.openxmlformats.org/officeDocument/2006/relationships/hyperlink" Target="http://ru.wikipedia.org/wiki/%D0%A0%D0%BE%D0%B4%D0%B8%D0%BE%D0%BD%D0%BE%D0%B2%D0%BE_(%D0%A5%D0%BE%D0%BB%D0%BC-%D0%96%D0%B8%D1%80%D0%BA%D0%BE%D0%B2%D1%81%D0%BA%D0%B8%D0%B9_%D1%80%D0%B0%D0%B9%D0%BE%D0%BD)" TargetMode="External"/><Relationship Id="rId27" Type="http://schemas.openxmlformats.org/officeDocument/2006/relationships/image" Target="media/image1.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6855F-36EA-4D7C-97CB-2184D216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34054</Words>
  <Characters>194114</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2018-03-05T11:40:00Z</dcterms:created>
  <dcterms:modified xsi:type="dcterms:W3CDTF">2018-03-27T06:51:00Z</dcterms:modified>
</cp:coreProperties>
</file>