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966" w:rsidRPr="00871966" w:rsidRDefault="00871966" w:rsidP="00266DC5">
      <w:pPr>
        <w:shd w:val="clear" w:color="auto" w:fill="FFFFFF"/>
        <w:spacing w:line="540" w:lineRule="atLeast"/>
        <w:jc w:val="both"/>
        <w:rPr>
          <w:rFonts w:ascii="Times New Roman" w:eastAsia="Times New Roman" w:hAnsi="Times New Roman" w:cs="Times New Roman"/>
          <w:b/>
          <w:bCs/>
          <w:color w:val="333333"/>
          <w:sz w:val="24"/>
          <w:szCs w:val="24"/>
          <w:lang w:eastAsia="ru-RU"/>
        </w:rPr>
      </w:pPr>
      <w:r w:rsidRPr="00871966">
        <w:rPr>
          <w:rFonts w:ascii="Times New Roman" w:eastAsia="Times New Roman" w:hAnsi="Times New Roman" w:cs="Times New Roman"/>
          <w:b/>
          <w:bCs/>
          <w:color w:val="333333"/>
          <w:sz w:val="24"/>
          <w:szCs w:val="24"/>
          <w:lang w:eastAsia="ru-RU"/>
        </w:rPr>
        <w:t>Преступления в сфере информационно-телекоммуникационных технологий</w:t>
      </w:r>
    </w:p>
    <w:p w:rsidR="00871966" w:rsidRPr="00266DC5"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sz w:val="24"/>
          <w:szCs w:val="24"/>
          <w:lang w:eastAsia="ru-RU"/>
        </w:rPr>
        <w:t> </w:t>
      </w:r>
      <w:r w:rsidRPr="00266DC5">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соответствии с действующим уголовным законодательством Российской Федерации под преступлением в сфере компьютерной информации понимаются совершаемые в сфере информационных процессов и посягающие на информационную безопасность деяния, предметом которых являются информация и компьютерные средства</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Информационно—телекоммуникационные технологии (далее    ИТТ) преимущественно используются при совершении преступлений против собственности, а также в сфере незаконного оборота наркотических средств и психотропных веществ. Уязвимость внедряемых в финансово-кредитную сферу инновационных технологий и их активное применение на практике эксплуатируют мошенники, совершая посягательства па имущество граждан и организаций на принципиально новой высокотехнологичной основе.</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Российской Федерации отмечается ежегодный рост таких преступлений. Повсеместно регистрируются преступления, связанные с хищением денежных средств из банков и иных кредитных организаций, физических и юридических лиц, совершаемых с использованием современных информационно-коммуникационных технологий, ответственность за которые в зависимости от способа преступного посягательства предусмотрена ст. ст. 158, 159, 159.3, I 59.6 УК РФ.</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Цель злоумышленников — получить персональные данные пользователя, номера банковских карт, паспортные данные, логины и пароли.</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Внедрение новых видов банковских, платежных услуг, нарастающее использование онлайн-сервисов влечет за собой появление ранее неизвестных видов противоправных деянии.</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Преступления в сфере информационных технологий совершаются различными способами, такими как:</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телефонное мошенничество (например, при поступлении звонка с неизвестного номера сообщают о том, что родственник либо знакомый попали в беду и необходима помощь денежными средствами);</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СМС-мошенничества (например, на мобильный телефон с незнакомого номера поступает СМС о выигрыше приза, может поступить СМС следующего содержания: «Мама, закончились деньги, срочно положи на этот номер»);</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Мошенничества с пластиковыми картами (например, с незнакомого номера поступает сообщение о том, что банковская карта заблокирована и предлагается бесплатно позвонить на определенный номер, после чего неизвестный абонент спрашивает ПИN-код от банковской карты);</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proofErr w:type="gramStart"/>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Вирусные» хищения (па мобильный телефон потерпевшего заносится сторонняя вредоносная программа (ВИРУС), которая блокирует операі4ионную систему телефона и дистанционно управляет ею);</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Мобильный банк (имеют место в случаях, если граждане, сменившие сменив телефонный номер, забывают отключить услугу «мобильный банк»);</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Интернет—покупки (покупка товаров в сети «Интернет» через непроверенные сайты).</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целях исключения совершения мошенниками противоправных действий необходимо соблюдать следующие меры безопасности:</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хранить ПИН-1-код отдельно от банковской карты, не писать ПИН-код на карте, не сообщать ПИН-код другим лицам, в том числе, позвонившим с незнакомых номеров, не вводить ПИН-код при работе в сети «Интернет».</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принимать незамедлительные меры по блокировке банковской карты в случае ее утери;</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для борьбы с вредоносными программами использовать антивирус.</w:t>
      </w:r>
    </w:p>
    <w:p w:rsidR="00871966" w:rsidRPr="00871966" w:rsidRDefault="00871966" w:rsidP="00266DC5">
      <w:pPr>
        <w:shd w:val="clear" w:color="auto" w:fill="FDFDFD"/>
        <w:spacing w:after="150" w:line="360" w:lineRule="atLeast"/>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96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Чтобы не стать жертвой мошеннических действий, достаточно позвонить в банковскую организацию по телефону, указанному на официальном сайте или на обороте карты, после чего уточнить у оператора, действительно ли кто-то пытается снять деньги, сообщите номер телефона мошенников.</w:t>
      </w:r>
    </w:p>
    <w:p w:rsidR="00871966" w:rsidRPr="00266DC5" w:rsidRDefault="00871966" w:rsidP="00266DC5">
      <w:pPr>
        <w:shd w:val="clear" w:color="auto" w:fill="FFFFFF"/>
        <w:spacing w:after="120" w:line="240" w:lineRule="auto"/>
        <w:jc w:val="both"/>
        <w:rPr>
          <w:rFonts w:ascii="Times New Roman" w:eastAsia="Times New Roman" w:hAnsi="Times New Roman" w:cs="Times New Roman"/>
          <w:color w:val="FFFFFF"/>
          <w:sz w:val="24"/>
          <w:szCs w:val="24"/>
          <w:shd w:val="clear" w:color="auto" w:fill="1E3685"/>
          <w:lang w:eastAsia="ru-RU"/>
        </w:rPr>
      </w:pPr>
    </w:p>
    <w:p w:rsidR="00747C23" w:rsidRPr="00747C23" w:rsidRDefault="00747C23" w:rsidP="00266DC5">
      <w:pPr>
        <w:shd w:val="clear" w:color="auto" w:fill="FFFFFF"/>
        <w:spacing w:line="540" w:lineRule="atLeast"/>
        <w:jc w:val="both"/>
        <w:rPr>
          <w:rFonts w:ascii="Times New Roman" w:eastAsia="Times New Roman" w:hAnsi="Times New Roman" w:cs="Times New Roman"/>
          <w:b/>
          <w:bCs/>
          <w:color w:val="333333"/>
          <w:sz w:val="24"/>
          <w:szCs w:val="24"/>
          <w:lang w:eastAsia="ru-RU"/>
        </w:rPr>
      </w:pPr>
      <w:r w:rsidRPr="00747C23">
        <w:rPr>
          <w:rFonts w:ascii="Times New Roman" w:eastAsia="Times New Roman" w:hAnsi="Times New Roman" w:cs="Times New Roman"/>
          <w:b/>
          <w:bCs/>
          <w:color w:val="333333"/>
          <w:sz w:val="24"/>
          <w:szCs w:val="24"/>
          <w:lang w:eastAsia="ru-RU"/>
        </w:rPr>
        <w:t>Противодействие экстремизму и терроризму</w:t>
      </w:r>
    </w:p>
    <w:p w:rsidR="00747C23" w:rsidRPr="00747C23" w:rsidRDefault="00747C23" w:rsidP="00266DC5">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747C23">
        <w:rPr>
          <w:rFonts w:ascii="Times New Roman" w:eastAsia="Times New Roman" w:hAnsi="Times New Roman" w:cs="Times New Roman"/>
          <w:color w:val="000000"/>
          <w:sz w:val="24"/>
          <w:szCs w:val="24"/>
          <w:lang w:eastAsia="ru-RU"/>
        </w:rPr>
        <w:t> </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Экстремизм, и его крайняя форма – терроризм, – являются одной из самых опасных общественно-политических проблем. Профилактика экстремизма и терроризма – это не только задача государства, это задача и представителей гражданского общества: общественных и религиозных объединений, отдельных граждан.</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В Российской Федерации экстремистская деятельность запрещена, а соблюдение этого запрета находится под строгим контролем. Подобная строгость обусловлена многонациональным и многоконфессиональным составом нашего государства,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 xml:space="preserve">Под преступлениями экстремистской направленности в Уголовном кодексе РФ (примечании 2 ст. 282.1) понимаются преступления, совершенные по мотивам политической, идеологической, расовой, национальной или религиозной ненависти или </w:t>
      </w:r>
      <w:r w:rsidRPr="00747C23">
        <w:rPr>
          <w:rFonts w:ascii="Times New Roman" w:eastAsia="Times New Roman" w:hAnsi="Times New Roman" w:cs="Times New Roman"/>
          <w:color w:val="333333"/>
          <w:sz w:val="24"/>
          <w:szCs w:val="24"/>
          <w:lang w:eastAsia="ru-RU"/>
        </w:rPr>
        <w:lastRenderedPageBreak/>
        <w:t>вражды либо по мотивам ненависти или вражды в отношении какой-либо социальной группы, предусмотренные соответствующими статьями Особенной части УК РФ (например, ст. ст. 280, 280.1, 282, 282.1, 282.2, 282.3 УК РФ, п. "л" ч. 2 ст. 105, п. "е" ч. 2 ст. 111, п. "б" ч. 1 ст. 213 УК РФ), а также иные преступления, совершенные по указанным мотивам, которые в соответствии с п. "е" ч. 1 ст. 63 УК РФ признаются обстоятельством, отягчающим наказание.</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Предусмотрена административная ответственность за экстремизм. К примеру, в ст. 20.3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атрибутики или символики нацистских, экстремистских организаций, а также иных атрибутики или символики, запрещенных федеральными законами, а также за изготовление или сбыт в целях пропаганды либо приобретение в целях сбыта или пропаганды указанной атрибутики или символики, кроме случаев,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Статьей 20.29 КоАП РФ предусмотрена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ст. 20.3.2 КоАП РФ.</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Кроме того, для целей противодействия экстремизму применяется комплекс мер, предусмотренных законодательством: В частности, на основании ст. 5 Закона о противодействии экстремизму в целях противодействия экстремистской деятельности федеральные органы государственной власти, органы государственной власти субъектов РФ,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Под террористической понимается деятельность по:</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 организации, планированию, подготовке, финансированию и реализации террористического акта;</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 подстрекательству к террористическому акту;</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 организации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 вербовке, вооружению, обучению и использованию террористов;</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 информационному или иному пособничеству в планировании, подготовке или реализации террористического акта;</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lastRenderedPageBreak/>
        <w:t>- пропаганде идей терроризма, распространению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747C23" w:rsidRPr="00747C23" w:rsidRDefault="00747C23" w:rsidP="00266DC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7C23">
        <w:rPr>
          <w:rFonts w:ascii="Times New Roman" w:eastAsia="Times New Roman" w:hAnsi="Times New Roman" w:cs="Times New Roman"/>
          <w:color w:val="333333"/>
          <w:sz w:val="24"/>
          <w:szCs w:val="24"/>
          <w:lang w:eastAsia="ru-RU"/>
        </w:rPr>
        <w:t>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Уголовного кодекса РФ. Предусмотрены самая строгая мера наказания в виде лишения свободы вплоть до пожизненного лишения свободы.</w:t>
      </w:r>
    </w:p>
    <w:p w:rsidR="00266DC5" w:rsidRPr="00266DC5" w:rsidRDefault="00266DC5" w:rsidP="00266DC5">
      <w:pPr>
        <w:shd w:val="clear" w:color="auto" w:fill="FFFFFF"/>
        <w:spacing w:after="0" w:line="240" w:lineRule="auto"/>
        <w:jc w:val="both"/>
        <w:outlineLvl w:val="0"/>
        <w:rPr>
          <w:rFonts w:ascii="Times New Roman" w:eastAsia="Times New Roman" w:hAnsi="Times New Roman" w:cs="Times New Roman"/>
          <w:color w:val="333333"/>
          <w:kern w:val="36"/>
          <w:sz w:val="24"/>
          <w:szCs w:val="24"/>
          <w:lang w:eastAsia="ru-RU"/>
        </w:rPr>
      </w:pPr>
      <w:r w:rsidRPr="00266DC5">
        <w:rPr>
          <w:rFonts w:ascii="Times New Roman" w:eastAsia="Times New Roman" w:hAnsi="Times New Roman" w:cs="Times New Roman"/>
          <w:color w:val="333333"/>
          <w:kern w:val="36"/>
          <w:sz w:val="24"/>
          <w:szCs w:val="24"/>
          <w:lang w:eastAsia="ru-RU"/>
        </w:rPr>
        <w:t>Противодействие преступности несовершеннолетних</w:t>
      </w:r>
    </w:p>
    <w:p w:rsidR="00266DC5" w:rsidRPr="00266DC5" w:rsidRDefault="00266DC5" w:rsidP="00266DC5">
      <w:pPr>
        <w:shd w:val="clear" w:color="auto" w:fill="FFFFFF"/>
        <w:spacing w:after="0" w:line="240" w:lineRule="auto"/>
        <w:jc w:val="both"/>
        <w:outlineLvl w:val="0"/>
        <w:rPr>
          <w:rFonts w:ascii="Times New Roman" w:eastAsia="Times New Roman" w:hAnsi="Times New Roman" w:cs="Times New Roman"/>
          <w:color w:val="333333"/>
          <w:kern w:val="36"/>
          <w:sz w:val="24"/>
          <w:szCs w:val="24"/>
          <w:lang w:eastAsia="ru-RU"/>
        </w:rPr>
      </w:pPr>
    </w:p>
    <w:p w:rsidR="00747C23" w:rsidRPr="00747C23" w:rsidRDefault="00747C23" w:rsidP="00266DC5">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747C23">
        <w:rPr>
          <w:rFonts w:ascii="Times New Roman" w:eastAsia="Times New Roman" w:hAnsi="Times New Roman" w:cs="Times New Roman"/>
          <w:color w:val="222222"/>
          <w:sz w:val="24"/>
          <w:szCs w:val="24"/>
          <w:lang w:eastAsia="ru-RU"/>
        </w:rPr>
        <w:t>Несовершеннолетний, как любой гражданин, имеет права и обязанности и несёт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 </w:t>
      </w:r>
    </w:p>
    <w:p w:rsidR="00747C23" w:rsidRPr="00747C23" w:rsidRDefault="00747C23" w:rsidP="00266DC5">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747C23">
        <w:rPr>
          <w:rFonts w:ascii="Times New Roman" w:eastAsia="Times New Roman" w:hAnsi="Times New Roman" w:cs="Times New Roman"/>
          <w:color w:val="222222"/>
          <w:sz w:val="24"/>
          <w:szCs w:val="24"/>
          <w:lang w:eastAsia="ru-RU"/>
        </w:rPr>
        <w:t>Уголовная ответственность – это самый строгий вид ответственности, который наступает за совершение преступлений, то есть наиболее опасных правонарушений. По общему правилу к уголовной ответственности за любое преступление, предусмотренное Уголовным кодексом Российской Федерации может быть привлечен человек с 16 лет, однако, существует большой перечень преступлений, ответственность за совершение которых наступает с 14 лет (все они указаны в статье 20 Уголовного кодекса), например: убийство (статья 105), умышленное причинение тяжкого вреда здоровью (статья 111), умышленное причинение средней тяжести вреда здоровью (статья 112), изнасилование (статья 131), насильственные действия сексуального характера (статья 132), кража (статья 158), грабеж (статья 161), разбой (статья 162), вымогательство (статья 163), умышленные уничтожение или повреждение имущества при отягчающих обстоятельствах (часть вторая статьи 167), заведомо ложное сообщение об акте терроризма (статья 207), участие в массовых беспорядках (часть вторая статьи 212), хулиганство при отягчающих обстоятельствах (части вторая и третья статьи 213), вандализм (статья 214),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и другие преступления.</w:t>
      </w:r>
    </w:p>
    <w:p w:rsidR="00266DC5" w:rsidRPr="00266DC5" w:rsidRDefault="00266DC5" w:rsidP="00266DC5">
      <w:pPr>
        <w:spacing w:after="0" w:line="240" w:lineRule="auto"/>
        <w:jc w:val="both"/>
        <w:rPr>
          <w:rFonts w:ascii="Times New Roman" w:eastAsia="Times New Roman" w:hAnsi="Times New Roman" w:cs="Times New Roman"/>
          <w:b/>
          <w:bCs/>
          <w:color w:val="353535"/>
          <w:sz w:val="24"/>
          <w:szCs w:val="24"/>
          <w:lang w:eastAsia="ru-RU"/>
        </w:rPr>
      </w:pPr>
      <w:bookmarkStart w:id="0" w:name="_GoBack"/>
      <w:bookmarkEnd w:id="0"/>
      <w:r w:rsidRPr="00266DC5">
        <w:rPr>
          <w:rFonts w:ascii="Times New Roman" w:eastAsia="Times New Roman" w:hAnsi="Times New Roman" w:cs="Times New Roman"/>
          <w:b/>
          <w:bCs/>
          <w:color w:val="353535"/>
          <w:sz w:val="24"/>
          <w:szCs w:val="24"/>
          <w:lang w:eastAsia="ru-RU"/>
        </w:rPr>
        <w:t>Обязанность государственного или муниципального служащего уведомлять о склонении к совершению коррупционного правонарушения</w:t>
      </w:r>
    </w:p>
    <w:p w:rsidR="00266DC5" w:rsidRPr="00266DC5" w:rsidRDefault="00266DC5" w:rsidP="00266DC5">
      <w:pPr>
        <w:spacing w:after="0" w:line="240" w:lineRule="auto"/>
        <w:jc w:val="both"/>
        <w:rPr>
          <w:rFonts w:ascii="Times New Roman" w:eastAsia="Times New Roman" w:hAnsi="Times New Roman" w:cs="Times New Roman"/>
          <w:color w:val="353535"/>
          <w:sz w:val="24"/>
          <w:szCs w:val="24"/>
          <w:lang w:eastAsia="ru-RU"/>
        </w:rPr>
      </w:pPr>
    </w:p>
    <w:p w:rsidR="00266DC5" w:rsidRPr="00266DC5" w:rsidRDefault="00266DC5" w:rsidP="00266DC5">
      <w:pPr>
        <w:spacing w:after="0" w:line="240" w:lineRule="auto"/>
        <w:jc w:val="both"/>
        <w:rPr>
          <w:rFonts w:ascii="Times New Roman" w:eastAsia="Times New Roman" w:hAnsi="Times New Roman" w:cs="Times New Roman"/>
          <w:color w:val="353535"/>
          <w:sz w:val="24"/>
          <w:szCs w:val="24"/>
          <w:lang w:eastAsia="ru-RU"/>
        </w:rPr>
      </w:pPr>
      <w:r w:rsidRPr="00266DC5">
        <w:rPr>
          <w:rFonts w:ascii="Times New Roman" w:eastAsia="Times New Roman" w:hAnsi="Times New Roman" w:cs="Times New Roman"/>
          <w:color w:val="353535"/>
          <w:sz w:val="24"/>
          <w:szCs w:val="24"/>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Данная обязанность установлена статьей 9 Федерального закона от 25.12.2008 № 273-ФЗ «О противодействии коррупции».</w:t>
      </w:r>
    </w:p>
    <w:p w:rsidR="00266DC5" w:rsidRPr="00266DC5" w:rsidRDefault="00266DC5" w:rsidP="00266DC5">
      <w:pPr>
        <w:spacing w:after="0" w:line="240" w:lineRule="auto"/>
        <w:jc w:val="both"/>
        <w:rPr>
          <w:rFonts w:ascii="Times New Roman" w:eastAsia="Times New Roman" w:hAnsi="Times New Roman" w:cs="Times New Roman"/>
          <w:color w:val="353535"/>
          <w:sz w:val="24"/>
          <w:szCs w:val="24"/>
          <w:lang w:eastAsia="ru-RU"/>
        </w:rPr>
      </w:pPr>
      <w:r w:rsidRPr="00266DC5">
        <w:rPr>
          <w:rFonts w:ascii="Times New Roman" w:eastAsia="Times New Roman" w:hAnsi="Times New Roman" w:cs="Times New Roman"/>
          <w:color w:val="353535"/>
          <w:sz w:val="24"/>
          <w:szCs w:val="24"/>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66DC5" w:rsidRPr="00266DC5" w:rsidRDefault="00266DC5" w:rsidP="00266DC5">
      <w:pPr>
        <w:spacing w:after="0" w:line="240" w:lineRule="auto"/>
        <w:jc w:val="both"/>
        <w:rPr>
          <w:rFonts w:ascii="Times New Roman" w:eastAsia="Times New Roman" w:hAnsi="Times New Roman" w:cs="Times New Roman"/>
          <w:color w:val="353535"/>
          <w:sz w:val="24"/>
          <w:szCs w:val="24"/>
          <w:lang w:eastAsia="ru-RU"/>
        </w:rPr>
      </w:pPr>
      <w:r w:rsidRPr="00266DC5">
        <w:rPr>
          <w:rFonts w:ascii="Times New Roman" w:eastAsia="Times New Roman" w:hAnsi="Times New Roman" w:cs="Times New Roman"/>
          <w:color w:val="353535"/>
          <w:sz w:val="24"/>
          <w:szCs w:val="24"/>
          <w:lang w:eastAsia="ru-RU"/>
        </w:rP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w:t>
      </w:r>
      <w:r w:rsidRPr="00266DC5">
        <w:rPr>
          <w:rFonts w:ascii="Times New Roman" w:eastAsia="Times New Roman" w:hAnsi="Times New Roman" w:cs="Times New Roman"/>
          <w:color w:val="353535"/>
          <w:sz w:val="24"/>
          <w:szCs w:val="24"/>
          <w:lang w:eastAsia="ru-RU"/>
        </w:rPr>
        <w:lastRenderedPageBreak/>
        <w:t>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66DC5" w:rsidRPr="00266DC5" w:rsidRDefault="00266DC5" w:rsidP="00266DC5">
      <w:pPr>
        <w:spacing w:after="0" w:line="240" w:lineRule="auto"/>
        <w:jc w:val="both"/>
        <w:rPr>
          <w:rFonts w:ascii="Times New Roman" w:eastAsia="Times New Roman" w:hAnsi="Times New Roman" w:cs="Times New Roman"/>
          <w:color w:val="353535"/>
          <w:sz w:val="24"/>
          <w:szCs w:val="24"/>
          <w:lang w:eastAsia="ru-RU"/>
        </w:rPr>
      </w:pPr>
      <w:r w:rsidRPr="00266DC5">
        <w:rPr>
          <w:rFonts w:ascii="Times New Roman" w:eastAsia="Times New Roman" w:hAnsi="Times New Roman" w:cs="Times New Roman"/>
          <w:color w:val="353535"/>
          <w:sz w:val="24"/>
          <w:szCs w:val="24"/>
          <w:lang w:eastAsia="ru-RU"/>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66DC5" w:rsidRPr="00266DC5" w:rsidRDefault="00266DC5" w:rsidP="00266DC5">
      <w:pPr>
        <w:spacing w:after="0" w:line="240" w:lineRule="auto"/>
        <w:jc w:val="both"/>
        <w:rPr>
          <w:rFonts w:ascii="Times New Roman" w:eastAsia="Times New Roman" w:hAnsi="Times New Roman" w:cs="Times New Roman"/>
          <w:color w:val="353535"/>
          <w:sz w:val="24"/>
          <w:szCs w:val="24"/>
          <w:lang w:eastAsia="ru-RU"/>
        </w:rPr>
      </w:pPr>
      <w:r w:rsidRPr="00266DC5">
        <w:rPr>
          <w:rFonts w:ascii="Times New Roman" w:eastAsia="Times New Roman" w:hAnsi="Times New Roman" w:cs="Times New Roman"/>
          <w:color w:val="353535"/>
          <w:sz w:val="24"/>
          <w:szCs w:val="24"/>
          <w:lang w:eastAsia="ru-RU"/>
        </w:rPr>
        <w:t>Невыполнение государственным или муниципальным служащим должностной (служебной) обязанности, по уведомлению обо всех случаях обращения к нему каких-либо лиц в целях склонения его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71966" w:rsidRPr="00266DC5" w:rsidRDefault="00871966" w:rsidP="00266DC5">
      <w:pPr>
        <w:shd w:val="clear" w:color="auto" w:fill="FFFFFF"/>
        <w:spacing w:after="120" w:line="240" w:lineRule="auto"/>
        <w:jc w:val="both"/>
        <w:rPr>
          <w:rFonts w:ascii="Times New Roman" w:eastAsia="Times New Roman" w:hAnsi="Times New Roman" w:cs="Times New Roman"/>
          <w:color w:val="FFFFFF"/>
          <w:sz w:val="24"/>
          <w:szCs w:val="24"/>
          <w:shd w:val="clear" w:color="auto" w:fill="1E3685"/>
          <w:lang w:eastAsia="ru-RU"/>
        </w:rPr>
      </w:pPr>
    </w:p>
    <w:p w:rsidR="00871966" w:rsidRPr="00871966" w:rsidRDefault="00871966" w:rsidP="00266DC5">
      <w:pPr>
        <w:shd w:val="clear" w:color="auto" w:fill="FFFFFF"/>
        <w:spacing w:after="120" w:line="240" w:lineRule="auto"/>
        <w:jc w:val="both"/>
        <w:rPr>
          <w:rFonts w:ascii="Times New Roman" w:eastAsia="Times New Roman" w:hAnsi="Times New Roman" w:cs="Times New Roman"/>
          <w:color w:val="000000"/>
          <w:sz w:val="24"/>
          <w:szCs w:val="24"/>
          <w:lang w:eastAsia="ru-RU"/>
        </w:rPr>
      </w:pPr>
    </w:p>
    <w:p w:rsidR="00FB36B7" w:rsidRPr="00266DC5" w:rsidRDefault="00FB36B7" w:rsidP="00266DC5">
      <w:pPr>
        <w:jc w:val="both"/>
        <w:rPr>
          <w:rFonts w:ascii="Times New Roman" w:hAnsi="Times New Roman" w:cs="Times New Roman"/>
          <w:sz w:val="24"/>
          <w:szCs w:val="24"/>
        </w:rPr>
      </w:pPr>
    </w:p>
    <w:sectPr w:rsidR="00FB36B7" w:rsidRPr="00266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02E97"/>
    <w:multiLevelType w:val="multilevel"/>
    <w:tmpl w:val="024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D3"/>
    <w:rsid w:val="00256AD3"/>
    <w:rsid w:val="00266DC5"/>
    <w:rsid w:val="00747C23"/>
    <w:rsid w:val="00871966"/>
    <w:rsid w:val="00FB3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7A39B-E90D-4BB3-8861-2F893E40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453">
      <w:bodyDiv w:val="1"/>
      <w:marLeft w:val="0"/>
      <w:marRight w:val="0"/>
      <w:marTop w:val="0"/>
      <w:marBottom w:val="0"/>
      <w:divBdr>
        <w:top w:val="none" w:sz="0" w:space="0" w:color="auto"/>
        <w:left w:val="none" w:sz="0" w:space="0" w:color="auto"/>
        <w:bottom w:val="none" w:sz="0" w:space="0" w:color="auto"/>
        <w:right w:val="none" w:sz="0" w:space="0" w:color="auto"/>
      </w:divBdr>
    </w:div>
    <w:div w:id="1120414797">
      <w:bodyDiv w:val="1"/>
      <w:marLeft w:val="0"/>
      <w:marRight w:val="0"/>
      <w:marTop w:val="0"/>
      <w:marBottom w:val="0"/>
      <w:divBdr>
        <w:top w:val="none" w:sz="0" w:space="0" w:color="auto"/>
        <w:left w:val="none" w:sz="0" w:space="0" w:color="auto"/>
        <w:bottom w:val="none" w:sz="0" w:space="0" w:color="auto"/>
        <w:right w:val="none" w:sz="0" w:space="0" w:color="auto"/>
      </w:divBdr>
    </w:div>
    <w:div w:id="1283614910">
      <w:bodyDiv w:val="1"/>
      <w:marLeft w:val="0"/>
      <w:marRight w:val="0"/>
      <w:marTop w:val="0"/>
      <w:marBottom w:val="0"/>
      <w:divBdr>
        <w:top w:val="none" w:sz="0" w:space="0" w:color="auto"/>
        <w:left w:val="none" w:sz="0" w:space="0" w:color="auto"/>
        <w:bottom w:val="none" w:sz="0" w:space="0" w:color="auto"/>
        <w:right w:val="none" w:sz="0" w:space="0" w:color="auto"/>
      </w:divBdr>
      <w:divsChild>
        <w:div w:id="2102216965">
          <w:marLeft w:val="0"/>
          <w:marRight w:val="0"/>
          <w:marTop w:val="0"/>
          <w:marBottom w:val="960"/>
          <w:divBdr>
            <w:top w:val="none" w:sz="0" w:space="0" w:color="auto"/>
            <w:left w:val="none" w:sz="0" w:space="0" w:color="auto"/>
            <w:bottom w:val="none" w:sz="0" w:space="0" w:color="auto"/>
            <w:right w:val="none" w:sz="0" w:space="0" w:color="auto"/>
          </w:divBdr>
        </w:div>
        <w:div w:id="895161911">
          <w:marLeft w:val="0"/>
          <w:marRight w:val="720"/>
          <w:marTop w:val="0"/>
          <w:marBottom w:val="0"/>
          <w:divBdr>
            <w:top w:val="none" w:sz="0" w:space="0" w:color="auto"/>
            <w:left w:val="none" w:sz="0" w:space="0" w:color="auto"/>
            <w:bottom w:val="none" w:sz="0" w:space="0" w:color="auto"/>
            <w:right w:val="none" w:sz="0" w:space="0" w:color="auto"/>
          </w:divBdr>
          <w:divsChild>
            <w:div w:id="1610090365">
              <w:marLeft w:val="0"/>
              <w:marRight w:val="0"/>
              <w:marTop w:val="0"/>
              <w:marBottom w:val="120"/>
              <w:divBdr>
                <w:top w:val="none" w:sz="0" w:space="0" w:color="auto"/>
                <w:left w:val="none" w:sz="0" w:space="0" w:color="auto"/>
                <w:bottom w:val="none" w:sz="0" w:space="0" w:color="auto"/>
                <w:right w:val="none" w:sz="0" w:space="0" w:color="auto"/>
              </w:divBdr>
            </w:div>
            <w:div w:id="1079792620">
              <w:marLeft w:val="0"/>
              <w:marRight w:val="0"/>
              <w:marTop w:val="0"/>
              <w:marBottom w:val="120"/>
              <w:divBdr>
                <w:top w:val="none" w:sz="0" w:space="0" w:color="auto"/>
                <w:left w:val="none" w:sz="0" w:space="0" w:color="auto"/>
                <w:bottom w:val="none" w:sz="0" w:space="0" w:color="auto"/>
                <w:right w:val="none" w:sz="0" w:space="0" w:color="auto"/>
              </w:divBdr>
            </w:div>
          </w:divsChild>
        </w:div>
        <w:div w:id="574709715">
          <w:marLeft w:val="0"/>
          <w:marRight w:val="0"/>
          <w:marTop w:val="0"/>
          <w:marBottom w:val="0"/>
          <w:divBdr>
            <w:top w:val="none" w:sz="0" w:space="0" w:color="auto"/>
            <w:left w:val="none" w:sz="0" w:space="0" w:color="auto"/>
            <w:bottom w:val="none" w:sz="0" w:space="0" w:color="auto"/>
            <w:right w:val="none" w:sz="0" w:space="0" w:color="auto"/>
          </w:divBdr>
          <w:divsChild>
            <w:div w:id="1615868866">
              <w:marLeft w:val="0"/>
              <w:marRight w:val="0"/>
              <w:marTop w:val="0"/>
              <w:marBottom w:val="0"/>
              <w:divBdr>
                <w:top w:val="none" w:sz="0" w:space="0" w:color="auto"/>
                <w:left w:val="none" w:sz="0" w:space="0" w:color="auto"/>
                <w:bottom w:val="none" w:sz="0" w:space="0" w:color="auto"/>
                <w:right w:val="none" w:sz="0" w:space="0" w:color="auto"/>
              </w:divBdr>
              <w:divsChild>
                <w:div w:id="10593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072">
      <w:bodyDiv w:val="1"/>
      <w:marLeft w:val="0"/>
      <w:marRight w:val="0"/>
      <w:marTop w:val="0"/>
      <w:marBottom w:val="0"/>
      <w:divBdr>
        <w:top w:val="none" w:sz="0" w:space="0" w:color="auto"/>
        <w:left w:val="none" w:sz="0" w:space="0" w:color="auto"/>
        <w:bottom w:val="none" w:sz="0" w:space="0" w:color="auto"/>
        <w:right w:val="none" w:sz="0" w:space="0" w:color="auto"/>
      </w:divBdr>
    </w:div>
    <w:div w:id="2102136365">
      <w:bodyDiv w:val="1"/>
      <w:marLeft w:val="0"/>
      <w:marRight w:val="0"/>
      <w:marTop w:val="0"/>
      <w:marBottom w:val="0"/>
      <w:divBdr>
        <w:top w:val="none" w:sz="0" w:space="0" w:color="auto"/>
        <w:left w:val="none" w:sz="0" w:space="0" w:color="auto"/>
        <w:bottom w:val="none" w:sz="0" w:space="0" w:color="auto"/>
        <w:right w:val="none" w:sz="0" w:space="0" w:color="auto"/>
      </w:divBdr>
      <w:divsChild>
        <w:div w:id="175580197">
          <w:marLeft w:val="0"/>
          <w:marRight w:val="0"/>
          <w:marTop w:val="0"/>
          <w:marBottom w:val="960"/>
          <w:divBdr>
            <w:top w:val="none" w:sz="0" w:space="0" w:color="auto"/>
            <w:left w:val="none" w:sz="0" w:space="0" w:color="auto"/>
            <w:bottom w:val="none" w:sz="0" w:space="0" w:color="auto"/>
            <w:right w:val="none" w:sz="0" w:space="0" w:color="auto"/>
          </w:divBdr>
        </w:div>
        <w:div w:id="1724136100">
          <w:marLeft w:val="0"/>
          <w:marRight w:val="720"/>
          <w:marTop w:val="0"/>
          <w:marBottom w:val="0"/>
          <w:divBdr>
            <w:top w:val="none" w:sz="0" w:space="0" w:color="auto"/>
            <w:left w:val="none" w:sz="0" w:space="0" w:color="auto"/>
            <w:bottom w:val="none" w:sz="0" w:space="0" w:color="auto"/>
            <w:right w:val="none" w:sz="0" w:space="0" w:color="auto"/>
          </w:divBdr>
          <w:divsChild>
            <w:div w:id="1014721205">
              <w:marLeft w:val="0"/>
              <w:marRight w:val="0"/>
              <w:marTop w:val="0"/>
              <w:marBottom w:val="120"/>
              <w:divBdr>
                <w:top w:val="none" w:sz="0" w:space="0" w:color="auto"/>
                <w:left w:val="none" w:sz="0" w:space="0" w:color="auto"/>
                <w:bottom w:val="none" w:sz="0" w:space="0" w:color="auto"/>
                <w:right w:val="none" w:sz="0" w:space="0" w:color="auto"/>
              </w:divBdr>
            </w:div>
            <w:div w:id="1510871891">
              <w:marLeft w:val="0"/>
              <w:marRight w:val="0"/>
              <w:marTop w:val="0"/>
              <w:marBottom w:val="120"/>
              <w:divBdr>
                <w:top w:val="none" w:sz="0" w:space="0" w:color="auto"/>
                <w:left w:val="none" w:sz="0" w:space="0" w:color="auto"/>
                <w:bottom w:val="none" w:sz="0" w:space="0" w:color="auto"/>
                <w:right w:val="none" w:sz="0" w:space="0" w:color="auto"/>
              </w:divBdr>
            </w:div>
          </w:divsChild>
        </w:div>
        <w:div w:id="1202480482">
          <w:marLeft w:val="0"/>
          <w:marRight w:val="0"/>
          <w:marTop w:val="0"/>
          <w:marBottom w:val="0"/>
          <w:divBdr>
            <w:top w:val="none" w:sz="0" w:space="0" w:color="auto"/>
            <w:left w:val="none" w:sz="0" w:space="0" w:color="auto"/>
            <w:bottom w:val="none" w:sz="0" w:space="0" w:color="auto"/>
            <w:right w:val="none" w:sz="0" w:space="0" w:color="auto"/>
          </w:divBdr>
          <w:divsChild>
            <w:div w:id="1866747421">
              <w:marLeft w:val="0"/>
              <w:marRight w:val="0"/>
              <w:marTop w:val="0"/>
              <w:marBottom w:val="0"/>
              <w:divBdr>
                <w:top w:val="none" w:sz="0" w:space="0" w:color="auto"/>
                <w:left w:val="none" w:sz="0" w:space="0" w:color="auto"/>
                <w:bottom w:val="none" w:sz="0" w:space="0" w:color="auto"/>
                <w:right w:val="none" w:sz="0" w:space="0" w:color="auto"/>
              </w:divBdr>
              <w:divsChild>
                <w:div w:id="12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1823</Words>
  <Characters>10396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Прокуратура</cp:lastModifiedBy>
  <cp:revision>5</cp:revision>
  <dcterms:created xsi:type="dcterms:W3CDTF">2023-06-13T08:10:00Z</dcterms:created>
  <dcterms:modified xsi:type="dcterms:W3CDTF">2023-06-13T09:12:00Z</dcterms:modified>
</cp:coreProperties>
</file>