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AE" w:rsidRPr="00F218AE" w:rsidRDefault="00F218AE" w:rsidP="00F218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F218A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Правила </w:t>
      </w:r>
      <w:r w:rsidRPr="00F218A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проверки приборов учета электроэнергии и их опломбировка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center"/>
        <w:rPr>
          <w:b/>
          <w:color w:val="000000"/>
          <w:sz w:val="32"/>
          <w:szCs w:val="32"/>
        </w:rPr>
      </w:pPr>
    </w:p>
    <w:bookmarkEnd w:id="0"/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>В силу действующего гражданского законодательства бремя содержания имущества, возложено на его собственника, оплата стоимости ремонта или замены прибора учета электроэнергии, включая стоимость самого прибора учета, производится абонентом самостоятельно.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 xml:space="preserve">В соответствии с пунктом 173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в целях выявления фактов </w:t>
      </w:r>
      <w:proofErr w:type="spellStart"/>
      <w:r w:rsidRPr="00F218AE">
        <w:rPr>
          <w:color w:val="000000"/>
          <w:sz w:val="28"/>
          <w:szCs w:val="28"/>
        </w:rPr>
        <w:t>безучетного</w:t>
      </w:r>
      <w:proofErr w:type="spellEnd"/>
      <w:r w:rsidRPr="00F218AE">
        <w:rPr>
          <w:color w:val="000000"/>
          <w:sz w:val="28"/>
          <w:szCs w:val="28"/>
        </w:rPr>
        <w:t xml:space="preserve"> потребления энергии, </w:t>
      </w:r>
      <w:proofErr w:type="spellStart"/>
      <w:r w:rsidRPr="00F218AE">
        <w:rPr>
          <w:color w:val="000000"/>
          <w:sz w:val="28"/>
          <w:szCs w:val="28"/>
        </w:rPr>
        <w:t>энергоснабжающая</w:t>
      </w:r>
      <w:proofErr w:type="spellEnd"/>
      <w:r w:rsidRPr="00F218AE">
        <w:rPr>
          <w:color w:val="000000"/>
          <w:sz w:val="28"/>
          <w:szCs w:val="28"/>
        </w:rPr>
        <w:t xml:space="preserve"> и сетевая организации имеют право на проверку расчетных приборов учета, как в плановом, так и внеплановом порядке.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>Плановые проверки приборов учета осуществляются сетевой организацией на основании план-графика, разработанного сетевой организацией и согласованного с гарантирующим поставщиком в году, предшествующем проведению плановой проверки.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>Основанием проведения внеплановой проверки приборов учета является получение письменного заявления от гарантирующего поставщика (</w:t>
      </w:r>
      <w:proofErr w:type="spellStart"/>
      <w:r w:rsidRPr="00F218AE">
        <w:rPr>
          <w:color w:val="000000"/>
          <w:sz w:val="28"/>
          <w:szCs w:val="28"/>
        </w:rPr>
        <w:t>энергосбытовой</w:t>
      </w:r>
      <w:proofErr w:type="spellEnd"/>
      <w:r w:rsidRPr="00F218AE">
        <w:rPr>
          <w:color w:val="000000"/>
          <w:sz w:val="28"/>
          <w:szCs w:val="28"/>
        </w:rPr>
        <w:t xml:space="preserve">, </w:t>
      </w:r>
      <w:proofErr w:type="spellStart"/>
      <w:r w:rsidRPr="00F218AE">
        <w:rPr>
          <w:color w:val="000000"/>
          <w:sz w:val="28"/>
          <w:szCs w:val="28"/>
        </w:rPr>
        <w:t>энергоснабжающей</w:t>
      </w:r>
      <w:proofErr w:type="spellEnd"/>
      <w:r w:rsidRPr="00F218AE">
        <w:rPr>
          <w:color w:val="000000"/>
          <w:sz w:val="28"/>
          <w:szCs w:val="28"/>
        </w:rPr>
        <w:t xml:space="preserve"> организации) либо от потребителя электрической энергии, а также выявление факта нарушения сохранности пломб и (или) знаков визуального контроля прибора учета перед его демонтажем.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 xml:space="preserve">Вместе с тем, уведомление об обеспечении допуска представителя сетевой организации к </w:t>
      </w:r>
      <w:proofErr w:type="spellStart"/>
      <w:r w:rsidRPr="00F218AE">
        <w:rPr>
          <w:color w:val="000000"/>
          <w:sz w:val="28"/>
          <w:szCs w:val="28"/>
        </w:rPr>
        <w:t>энергопринимающим</w:t>
      </w:r>
      <w:proofErr w:type="spellEnd"/>
      <w:r w:rsidRPr="00F218AE">
        <w:rPr>
          <w:color w:val="000000"/>
          <w:sz w:val="28"/>
          <w:szCs w:val="28"/>
        </w:rPr>
        <w:t xml:space="preserve"> устройствам, в границах которых установлен расчетный прибор учета, должно быть направлено собственнику не позднее пяти рабочих дней до планируемой даты контрольного снятия показаний прибора учета.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>В случае отказа собственника в обеспечении доступа к расчетному прибору учета, представитель сетевой организации обязан составить соответствующий акт, один экземпляр которого направить в адрес собственника имущества.</w:t>
      </w:r>
    </w:p>
    <w:p w:rsidR="00F218AE" w:rsidRPr="00F218AE" w:rsidRDefault="00F218AE" w:rsidP="00F218AE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F218AE">
        <w:rPr>
          <w:color w:val="000000"/>
          <w:sz w:val="28"/>
          <w:szCs w:val="28"/>
        </w:rPr>
        <w:t>При повторном отказе собственника в проведении контрольного снятия показаний расчетного прибора учета, сетевая организация вправе определить объем потребления электрической энергии (мощности) исходя из средних объемов потребления электроэнергии абонентом.</w:t>
      </w:r>
    </w:p>
    <w:p w:rsidR="002B65B0" w:rsidRPr="00F218AE" w:rsidRDefault="002B65B0" w:rsidP="00F2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5B0" w:rsidRPr="00F2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9"/>
    <w:rsid w:val="002B65B0"/>
    <w:rsid w:val="00C93C89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D07-9936-4D60-97C5-63C1474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2018-12-27T20:35:00Z</dcterms:created>
  <dcterms:modified xsi:type="dcterms:W3CDTF">2018-12-27T20:36:00Z</dcterms:modified>
</cp:coreProperties>
</file>