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95322" w:rsidRDefault="000F484A">
      <w:pPr>
        <w:pStyle w:val="10"/>
        <w:spacing w:after="0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Коррупционные правонарушения в сфере закупок</w:t>
      </w:r>
    </w:p>
    <w:bookmarkEnd w:id="0"/>
    <w:p w14:paraId="02000000" w14:textId="77777777" w:rsidR="00395322" w:rsidRDefault="000F484A">
      <w:pPr>
        <w:pStyle w:val="10"/>
        <w:spacing w:after="0"/>
        <w:ind w:firstLine="709"/>
        <w:jc w:val="both"/>
        <w:rPr>
          <w:b w:val="0"/>
          <w:sz w:val="28"/>
          <w:highlight w:val="white"/>
        </w:rPr>
      </w:pPr>
      <w:r>
        <w:rPr>
          <w:b w:val="0"/>
          <w:sz w:val="28"/>
          <w:highlight w:val="white"/>
        </w:rPr>
        <w:t xml:space="preserve">Статьей 7 Федерального закона от 25.12.2008 № 273-ФЗ «О противодействии коррупции» установлено, что среди основных направлений деятельности государственных органов по повышению эффективности противодействия </w:t>
      </w:r>
      <w:r>
        <w:rPr>
          <w:b w:val="0"/>
          <w:sz w:val="28"/>
          <w:highlight w:val="white"/>
        </w:rPr>
        <w:t>коррупции предусмотрено обеспечение добросовестности, открытости, добросовестной конкуренции и объективности при осуществлении закупок товаров, работ, услуг.</w:t>
      </w:r>
    </w:p>
    <w:p w14:paraId="03000000" w14:textId="77777777" w:rsidR="00395322" w:rsidRDefault="000F484A">
      <w:pPr>
        <w:pStyle w:val="a5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t>При проведении проверок в указанной сфере органами прокуратуры выявляются нарушения, связанные с ф</w:t>
      </w:r>
      <w:r>
        <w:rPr>
          <w:sz w:val="28"/>
        </w:rPr>
        <w:t xml:space="preserve">актами: выполнения государственного контракта аффилированными лицами заказчика; осуществления закупки товаров, работ, услуг для обеспечения государственных (муниципальных) нужд на </w:t>
      </w:r>
      <w:proofErr w:type="spellStart"/>
      <w:r>
        <w:rPr>
          <w:sz w:val="28"/>
        </w:rPr>
        <w:t>бесконкурсной</w:t>
      </w:r>
      <w:proofErr w:type="spellEnd"/>
      <w:r>
        <w:rPr>
          <w:sz w:val="28"/>
        </w:rPr>
        <w:t xml:space="preserve"> основе; необоснованного завышения цен на приобретаемые товары </w:t>
      </w:r>
      <w:r>
        <w:rPr>
          <w:sz w:val="28"/>
        </w:rPr>
        <w:t>(работы и услуги); оценки и сопоставления заявок на участие в конкурсе с применением критериев, не предусмотренных конкурсной документацией;</w:t>
      </w:r>
      <w:proofErr w:type="gramEnd"/>
      <w:r>
        <w:rPr>
          <w:sz w:val="28"/>
        </w:rPr>
        <w:t xml:space="preserve"> участия в работе конкурсных, аукционных комиссий лиц, лично заинтересованных в результатах размещения заказа, либо </w:t>
      </w:r>
      <w:r>
        <w:rPr>
          <w:sz w:val="28"/>
        </w:rPr>
        <w:t>лиц, на которых способны оказывать влияние участники размещения заказа.</w:t>
      </w:r>
    </w:p>
    <w:p w14:paraId="04000000" w14:textId="77777777" w:rsidR="00395322" w:rsidRDefault="000F484A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>Существует несколько основных способов злоупотреблений при заключении и исполнении государственных и муниципальных заказов.</w:t>
      </w:r>
    </w:p>
    <w:p w14:paraId="05000000" w14:textId="77777777" w:rsidR="00395322" w:rsidRDefault="000F484A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>Первый способ – систематическое злоупотребление должностными</w:t>
      </w:r>
      <w:r>
        <w:rPr>
          <w:sz w:val="28"/>
        </w:rPr>
        <w:t xml:space="preserve"> полномочиями в целях создания благоприятных условий собственному бизнесу либо коммерческой деятельности третьих лиц, то есть </w:t>
      </w:r>
      <w:proofErr w:type="spellStart"/>
      <w:r>
        <w:rPr>
          <w:sz w:val="28"/>
        </w:rPr>
        <w:t>аффилированность</w:t>
      </w:r>
      <w:proofErr w:type="spellEnd"/>
      <w:r>
        <w:rPr>
          <w:sz w:val="28"/>
        </w:rPr>
        <w:t xml:space="preserve"> работников органов государственной власти и органов местного самоуправления с субъектами предпринимательской деят</w:t>
      </w:r>
      <w:r>
        <w:rPr>
          <w:sz w:val="28"/>
        </w:rPr>
        <w:t>ельности.</w:t>
      </w:r>
    </w:p>
    <w:p w14:paraId="06000000" w14:textId="77777777" w:rsidR="00395322" w:rsidRDefault="000F484A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>Второй способ – ограничение конкуренции, воспрепятствование предпринимательской деятельности при организации и проведении конкурсных процедур, в том числе путем завышения стоимости работ и с использованием фирм-однодневок. К числу механизмов, исп</w:t>
      </w:r>
      <w:r>
        <w:rPr>
          <w:sz w:val="28"/>
        </w:rPr>
        <w:t>ользуемых для завышения цены контракта на стадии, предшествующей выполнению работ, относятся завышение начальной цены контракта представителем заказчика при наличии сговора с предполагаемым победителем.</w:t>
      </w:r>
    </w:p>
    <w:p w14:paraId="07000000" w14:textId="77777777" w:rsidR="00395322" w:rsidRDefault="000F484A">
      <w:pPr>
        <w:pStyle w:val="a5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t>Основными мошенническими механизмами при осуществлени</w:t>
      </w:r>
      <w:r>
        <w:rPr>
          <w:sz w:val="28"/>
        </w:rPr>
        <w:t xml:space="preserve">и государственного (муниципального) заказа, а также при реализации схем, направленных на ограничение (устранение) конкуренции в сфере государственных закупок, являются картельные сговоры на торгах, так называемое тендерное </w:t>
      </w:r>
      <w:proofErr w:type="spellStart"/>
      <w:r>
        <w:rPr>
          <w:sz w:val="28"/>
        </w:rPr>
        <w:t>рейдерство</w:t>
      </w:r>
      <w:proofErr w:type="spellEnd"/>
      <w:r>
        <w:rPr>
          <w:sz w:val="28"/>
        </w:rPr>
        <w:t>, и иные нарушения анти</w:t>
      </w:r>
      <w:r>
        <w:rPr>
          <w:sz w:val="28"/>
        </w:rPr>
        <w:t>монопольных требований в ходе организации торгов, а также предоставление фиктивного финансового обеспечения (банковских гарантий) в ходе конкурсных торгов.</w:t>
      </w:r>
      <w:proofErr w:type="gramEnd"/>
    </w:p>
    <w:p w14:paraId="08000000" w14:textId="77777777" w:rsidR="00395322" w:rsidRDefault="000F484A">
      <w:pPr>
        <w:pStyle w:val="a5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Уголовная ответственность за нарушения в сфере закупок предусмотрена статьями 200.4 (злоупотребление</w:t>
      </w:r>
      <w:r>
        <w:rPr>
          <w:sz w:val="28"/>
        </w:rPr>
        <w:t xml:space="preserve"> в сфере закупок товаров, работ, услуг для обеспечения государственных или муниципальных нужд), 205.5 (подкуп работника контрактной службы, лица, осуществляющего приемку поставленных товаров, выполненных работ или оказанных услуг), 304 (провокация взятки, </w:t>
      </w:r>
      <w:r>
        <w:rPr>
          <w:sz w:val="28"/>
        </w:rPr>
        <w:t>коммерческого подкупа либо подкупа в сфере закупок товаров, работ, услуг для обеспечения государственных или муниципальных нужд) Уголовного кодекса Российской</w:t>
      </w:r>
      <w:proofErr w:type="gramEnd"/>
      <w:r>
        <w:rPr>
          <w:sz w:val="28"/>
        </w:rPr>
        <w:t xml:space="preserve"> Федерации (далее – УК РФ).</w:t>
      </w:r>
    </w:p>
    <w:p w14:paraId="09000000" w14:textId="77777777" w:rsidR="00395322" w:rsidRDefault="000F484A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>В отдельных случаях действия злоумышленников могут квалифицироваться п</w:t>
      </w:r>
      <w:r>
        <w:rPr>
          <w:sz w:val="28"/>
        </w:rPr>
        <w:t>о статье 159 УК РФ (мошенничество).</w:t>
      </w:r>
    </w:p>
    <w:p w14:paraId="0A000000" w14:textId="77777777" w:rsidR="00395322" w:rsidRDefault="00395322">
      <w:pPr>
        <w:pStyle w:val="10"/>
        <w:spacing w:after="0"/>
        <w:ind w:firstLine="709"/>
        <w:jc w:val="both"/>
        <w:rPr>
          <w:sz w:val="28"/>
        </w:rPr>
      </w:pPr>
    </w:p>
    <w:sectPr w:rsidR="00395322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95322"/>
    <w:rsid w:val="000F484A"/>
    <w:rsid w:val="003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2026-07-01T07:26:00Z</dcterms:created>
  <dcterms:modified xsi:type="dcterms:W3CDTF">2026-07-01T07:26:00Z</dcterms:modified>
</cp:coreProperties>
</file>