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1A" w:rsidRPr="008862DA" w:rsidRDefault="00792A1A" w:rsidP="00792A1A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inline distT="0" distB="0" distL="0" distR="0" wp14:anchorId="54BB5D18" wp14:editId="32EF46E0">
            <wp:extent cx="69532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A1A" w:rsidRPr="008862DA" w:rsidRDefault="00792A1A" w:rsidP="00792A1A">
      <w:pPr>
        <w:jc w:val="center"/>
        <w:rPr>
          <w:b/>
          <w:sz w:val="28"/>
          <w:szCs w:val="20"/>
        </w:rPr>
      </w:pPr>
    </w:p>
    <w:p w:rsidR="00792A1A" w:rsidRPr="00F659DB" w:rsidRDefault="00792A1A" w:rsidP="00792A1A">
      <w:pPr>
        <w:shd w:val="clear" w:color="auto" w:fill="FFFFFF"/>
        <w:tabs>
          <w:tab w:val="left" w:pos="9537"/>
          <w:tab w:val="left" w:pos="9911"/>
        </w:tabs>
        <w:ind w:right="20"/>
        <w:jc w:val="center"/>
        <w:rPr>
          <w:b/>
          <w:caps/>
          <w:sz w:val="28"/>
          <w:szCs w:val="28"/>
        </w:rPr>
      </w:pPr>
      <w:r w:rsidRPr="00F659DB">
        <w:rPr>
          <w:b/>
          <w:caps/>
          <w:sz w:val="28"/>
          <w:szCs w:val="28"/>
        </w:rPr>
        <w:t xml:space="preserve">ГлИНКОВСКИЙ ОКРУЖНОЙ СОВЕТ ДЕПУТАТОВ </w:t>
      </w:r>
    </w:p>
    <w:p w:rsidR="00792A1A" w:rsidRPr="00F659DB" w:rsidRDefault="00792A1A" w:rsidP="00792A1A">
      <w:pPr>
        <w:shd w:val="clear" w:color="auto" w:fill="FFFFFF"/>
        <w:tabs>
          <w:tab w:val="left" w:pos="9537"/>
          <w:tab w:val="left" w:pos="9911"/>
        </w:tabs>
        <w:ind w:right="20"/>
        <w:jc w:val="center"/>
        <w:rPr>
          <w:b/>
          <w:caps/>
          <w:sz w:val="28"/>
          <w:szCs w:val="28"/>
        </w:rPr>
      </w:pPr>
      <w:r w:rsidRPr="00F659DB">
        <w:rPr>
          <w:b/>
          <w:caps/>
          <w:sz w:val="28"/>
          <w:szCs w:val="28"/>
        </w:rPr>
        <w:t>Смоленской области</w:t>
      </w:r>
    </w:p>
    <w:p w:rsidR="00792A1A" w:rsidRDefault="00792A1A" w:rsidP="00792A1A">
      <w:pPr>
        <w:jc w:val="center"/>
        <w:rPr>
          <w:b/>
          <w:sz w:val="28"/>
          <w:szCs w:val="20"/>
        </w:rPr>
      </w:pPr>
    </w:p>
    <w:p w:rsidR="00792A1A" w:rsidRPr="008862DA" w:rsidRDefault="00792A1A" w:rsidP="00792A1A">
      <w:pPr>
        <w:jc w:val="center"/>
        <w:rPr>
          <w:b/>
          <w:sz w:val="28"/>
          <w:szCs w:val="20"/>
        </w:rPr>
      </w:pPr>
      <w:r w:rsidRPr="008862DA">
        <w:rPr>
          <w:b/>
          <w:sz w:val="28"/>
          <w:szCs w:val="20"/>
        </w:rPr>
        <w:t>РЕШЕНИЕ</w:t>
      </w:r>
    </w:p>
    <w:p w:rsidR="00792A1A" w:rsidRPr="008862DA" w:rsidRDefault="00792A1A" w:rsidP="00792A1A">
      <w:pPr>
        <w:jc w:val="center"/>
        <w:rPr>
          <w:b/>
          <w:sz w:val="28"/>
          <w:szCs w:val="20"/>
        </w:rPr>
      </w:pPr>
    </w:p>
    <w:p w:rsidR="00792A1A" w:rsidRPr="00A563A3" w:rsidRDefault="00792A1A" w:rsidP="00792A1A">
      <w:pPr>
        <w:shd w:val="clear" w:color="auto" w:fill="FFFFFF"/>
        <w:tabs>
          <w:tab w:val="left" w:pos="5424"/>
        </w:tabs>
        <w:rPr>
          <w:b/>
          <w:sz w:val="28"/>
          <w:szCs w:val="28"/>
        </w:rPr>
      </w:pPr>
      <w:r w:rsidRPr="00A563A3">
        <w:rPr>
          <w:b/>
          <w:sz w:val="28"/>
          <w:szCs w:val="28"/>
        </w:rPr>
        <w:t xml:space="preserve">от  « </w:t>
      </w:r>
      <w:r w:rsidR="00BF23A0">
        <w:rPr>
          <w:b/>
          <w:sz w:val="28"/>
          <w:szCs w:val="28"/>
        </w:rPr>
        <w:t>14</w:t>
      </w:r>
      <w:r w:rsidRPr="00A563A3">
        <w:rPr>
          <w:b/>
          <w:sz w:val="28"/>
          <w:szCs w:val="28"/>
        </w:rPr>
        <w:t xml:space="preserve">  »   </w:t>
      </w:r>
      <w:r w:rsidR="00E57429">
        <w:rPr>
          <w:b/>
          <w:sz w:val="28"/>
          <w:szCs w:val="28"/>
        </w:rPr>
        <w:t>апреля</w:t>
      </w:r>
      <w:r w:rsidRPr="00A563A3">
        <w:rPr>
          <w:b/>
          <w:sz w:val="28"/>
          <w:szCs w:val="28"/>
        </w:rPr>
        <w:t xml:space="preserve">  202</w:t>
      </w:r>
      <w:r w:rsidR="008B3AC4">
        <w:rPr>
          <w:b/>
          <w:sz w:val="28"/>
          <w:szCs w:val="28"/>
        </w:rPr>
        <w:t>6</w:t>
      </w:r>
      <w:r w:rsidRPr="00A563A3">
        <w:rPr>
          <w:b/>
          <w:sz w:val="28"/>
          <w:szCs w:val="28"/>
        </w:rPr>
        <w:t xml:space="preserve"> г.  № </w:t>
      </w:r>
      <w:r w:rsidR="00BF23A0">
        <w:rPr>
          <w:b/>
          <w:sz w:val="28"/>
          <w:szCs w:val="28"/>
        </w:rPr>
        <w:t>12</w:t>
      </w:r>
      <w:bookmarkStart w:id="0" w:name="_GoBack"/>
      <w:bookmarkEnd w:id="0"/>
    </w:p>
    <w:p w:rsidR="00792A1A" w:rsidRPr="008862DA" w:rsidRDefault="00792A1A" w:rsidP="00792A1A">
      <w:pPr>
        <w:rPr>
          <w:b/>
          <w:sz w:val="28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8"/>
      </w:tblGrid>
      <w:tr w:rsidR="00792A1A" w:rsidRPr="008862DA" w:rsidTr="00633E34">
        <w:tc>
          <w:tcPr>
            <w:tcW w:w="4938" w:type="dxa"/>
          </w:tcPr>
          <w:p w:rsidR="00792A1A" w:rsidRPr="00225DB4" w:rsidRDefault="00792A1A" w:rsidP="00633E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 внесении изменений в решение Глинковского окружного Совета депутатов от 2</w:t>
            </w:r>
            <w:r w:rsidR="00D521B7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>.0</w:t>
            </w:r>
            <w:r w:rsidR="00D521B7">
              <w:rPr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.2025 г. № </w:t>
            </w:r>
            <w:r w:rsidR="00D521B7">
              <w:rPr>
                <w:b/>
                <w:bCs/>
                <w:color w:val="000000"/>
                <w:sz w:val="28"/>
                <w:szCs w:val="28"/>
              </w:rPr>
              <w:t>35</w:t>
            </w:r>
            <w:r w:rsidRPr="00225D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92A1A" w:rsidRPr="008862DA" w:rsidRDefault="00792A1A" w:rsidP="00633E3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F6C86" w:rsidRDefault="00DF6C86"/>
    <w:p w:rsidR="00792A1A" w:rsidRDefault="00792A1A"/>
    <w:p w:rsidR="00792A1A" w:rsidRDefault="00792A1A" w:rsidP="00792A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приведения нормативного правового акта в соответствии с действующим законодательством Российской Федерации, Глинковский окружной Совет депутатов</w:t>
      </w:r>
    </w:p>
    <w:p w:rsidR="00792A1A" w:rsidRDefault="00792A1A">
      <w:pPr>
        <w:rPr>
          <w:sz w:val="28"/>
          <w:szCs w:val="28"/>
        </w:rPr>
      </w:pPr>
    </w:p>
    <w:p w:rsidR="00792A1A" w:rsidRPr="00792A1A" w:rsidRDefault="00792A1A">
      <w:pPr>
        <w:rPr>
          <w:b/>
          <w:sz w:val="28"/>
          <w:szCs w:val="28"/>
        </w:rPr>
      </w:pPr>
      <w:r w:rsidRPr="00792A1A">
        <w:rPr>
          <w:b/>
          <w:sz w:val="28"/>
          <w:szCs w:val="28"/>
        </w:rPr>
        <w:t xml:space="preserve">        РЕШИЛ:</w:t>
      </w:r>
    </w:p>
    <w:p w:rsidR="00792A1A" w:rsidRDefault="00792A1A">
      <w:pPr>
        <w:rPr>
          <w:sz w:val="28"/>
          <w:szCs w:val="28"/>
        </w:rPr>
      </w:pPr>
    </w:p>
    <w:p w:rsidR="00792A1A" w:rsidRDefault="00792A1A" w:rsidP="00792A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6639">
        <w:rPr>
          <w:sz w:val="28"/>
          <w:szCs w:val="28"/>
        </w:rPr>
        <w:t xml:space="preserve">1. </w:t>
      </w:r>
      <w:r w:rsidRPr="00792A1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решение Глинковского окружного Совета депутатов от 2</w:t>
      </w:r>
      <w:r w:rsidR="00D521B7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D521B7">
        <w:rPr>
          <w:sz w:val="28"/>
          <w:szCs w:val="28"/>
        </w:rPr>
        <w:t>3</w:t>
      </w:r>
      <w:r>
        <w:rPr>
          <w:sz w:val="28"/>
          <w:szCs w:val="28"/>
        </w:rPr>
        <w:t xml:space="preserve">.2025 </w:t>
      </w:r>
      <w:r w:rsidR="008B3AC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521B7">
        <w:rPr>
          <w:sz w:val="28"/>
          <w:szCs w:val="28"/>
        </w:rPr>
        <w:t>35</w:t>
      </w:r>
      <w:r>
        <w:rPr>
          <w:sz w:val="28"/>
          <w:szCs w:val="28"/>
        </w:rPr>
        <w:t xml:space="preserve"> «Об утверждении </w:t>
      </w:r>
      <w:r w:rsidRPr="00792A1A">
        <w:rPr>
          <w:bCs/>
          <w:color w:val="000000"/>
          <w:sz w:val="28"/>
          <w:szCs w:val="28"/>
        </w:rPr>
        <w:t xml:space="preserve">Положения </w:t>
      </w:r>
      <w:r w:rsidR="00D521B7">
        <w:rPr>
          <w:sz w:val="28"/>
          <w:szCs w:val="28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Pr="00792A1A">
        <w:rPr>
          <w:sz w:val="28"/>
          <w:szCs w:val="28"/>
        </w:rPr>
        <w:t>муниципального образования «Глинковский муниципальный округ» Смоленской области</w:t>
      </w:r>
      <w:r>
        <w:rPr>
          <w:sz w:val="28"/>
          <w:szCs w:val="28"/>
        </w:rPr>
        <w:t>» следующие изменения:</w:t>
      </w:r>
    </w:p>
    <w:p w:rsidR="00B10F45" w:rsidRDefault="00533480" w:rsidP="00792A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Раздел 2</w:t>
      </w:r>
      <w:r w:rsidR="00B10F45">
        <w:rPr>
          <w:sz w:val="28"/>
          <w:szCs w:val="28"/>
        </w:rPr>
        <w:t xml:space="preserve"> </w:t>
      </w:r>
      <w:r w:rsidR="00C67858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дополнить пунктами 2.6. и 2.7.</w:t>
      </w:r>
      <w:r w:rsidR="00B10F4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</w:t>
      </w:r>
      <w:r w:rsidR="00B10F45">
        <w:rPr>
          <w:sz w:val="28"/>
          <w:szCs w:val="28"/>
        </w:rPr>
        <w:t>:</w:t>
      </w:r>
    </w:p>
    <w:p w:rsidR="00533480" w:rsidRDefault="00533480" w:rsidP="00533480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92A1A">
        <w:rPr>
          <w:sz w:val="28"/>
          <w:szCs w:val="28"/>
        </w:rPr>
        <w:t xml:space="preserve">       «2.</w:t>
      </w:r>
      <w:r>
        <w:rPr>
          <w:sz w:val="28"/>
          <w:szCs w:val="28"/>
        </w:rPr>
        <w:t xml:space="preserve">6. </w:t>
      </w:r>
      <w:r w:rsidRPr="00792A1A">
        <w:rPr>
          <w:sz w:val="28"/>
          <w:szCs w:val="28"/>
        </w:rPr>
        <w:t xml:space="preserve"> </w:t>
      </w:r>
      <w:r w:rsidRPr="00792A1A">
        <w:rPr>
          <w:sz w:val="28"/>
          <w:szCs w:val="28"/>
          <w:bdr w:val="none" w:sz="0" w:space="0" w:color="auto" w:frame="1"/>
        </w:rPr>
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«Инспектор».</w:t>
      </w:r>
    </w:p>
    <w:p w:rsidR="00533480" w:rsidRPr="00B10F45" w:rsidRDefault="00533480" w:rsidP="0053348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10F45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533480" w:rsidRPr="00792A1A" w:rsidRDefault="00533480" w:rsidP="00533480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Pr="00792A1A">
        <w:rPr>
          <w:sz w:val="28"/>
          <w:szCs w:val="28"/>
          <w:bdr w:val="none" w:sz="0" w:space="0" w:color="auto" w:frame="1"/>
        </w:rPr>
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533480" w:rsidRPr="00792A1A" w:rsidRDefault="00533480" w:rsidP="00533480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Pr="00792A1A">
        <w:rPr>
          <w:sz w:val="28"/>
          <w:szCs w:val="28"/>
          <w:bdr w:val="none" w:sz="0" w:space="0" w:color="auto" w:frame="1"/>
        </w:rPr>
        <w:t xml:space="preserve">Заявление о проведении профилактического визита подается посредством единого портала государственных и муниципальных услуг. Контрольный орган рассматривает заявление в течение десяти рабочих дней и принимает решение о </w:t>
      </w:r>
      <w:r w:rsidRPr="00792A1A">
        <w:rPr>
          <w:sz w:val="28"/>
          <w:szCs w:val="28"/>
          <w:bdr w:val="none" w:sz="0" w:space="0" w:color="auto" w:frame="1"/>
        </w:rPr>
        <w:lastRenderedPageBreak/>
        <w:t xml:space="preserve">проведении профилактического визита либо об отказе </w:t>
      </w:r>
      <w:r>
        <w:rPr>
          <w:sz w:val="28"/>
          <w:szCs w:val="28"/>
          <w:bdr w:val="none" w:sz="0" w:space="0" w:color="auto" w:frame="1"/>
        </w:rPr>
        <w:t xml:space="preserve">в его проведении по основаниям, </w:t>
      </w:r>
      <w:r w:rsidRPr="00792A1A">
        <w:rPr>
          <w:sz w:val="28"/>
          <w:szCs w:val="28"/>
          <w:bdr w:val="none" w:sz="0" w:space="0" w:color="auto" w:frame="1"/>
        </w:rPr>
        <w:t>о чем уведомляет контролируемое лицо.</w:t>
      </w:r>
    </w:p>
    <w:p w:rsidR="00533480" w:rsidRPr="00B10F45" w:rsidRDefault="00533480" w:rsidP="00533480">
      <w:pPr>
        <w:jc w:val="both"/>
        <w:rPr>
          <w:color w:val="000000"/>
          <w:sz w:val="28"/>
          <w:szCs w:val="28"/>
          <w:shd w:val="clear" w:color="auto" w:fill="FFFFFF"/>
        </w:rPr>
      </w:pPr>
      <w:r w:rsidRPr="00B10F45">
        <w:rPr>
          <w:color w:val="000000"/>
          <w:sz w:val="28"/>
          <w:szCs w:val="28"/>
          <w:shd w:val="clear" w:color="auto" w:fill="FFFFFF"/>
        </w:rPr>
        <w:t xml:space="preserve">        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533480" w:rsidRPr="007761B5" w:rsidRDefault="00533480" w:rsidP="0053348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10F45">
        <w:rPr>
          <w:color w:val="000000"/>
          <w:sz w:val="28"/>
          <w:szCs w:val="28"/>
        </w:rPr>
        <w:t>Р</w:t>
      </w:r>
      <w:r w:rsidRPr="007761B5">
        <w:rPr>
          <w:color w:val="000000"/>
          <w:sz w:val="28"/>
          <w:szCs w:val="28"/>
        </w:rPr>
        <w:t>ешение об отказе в проведении профилактического визита принимается в следующих случаях:</w:t>
      </w:r>
    </w:p>
    <w:p w:rsidR="00533480" w:rsidRPr="007761B5" w:rsidRDefault="00533480" w:rsidP="0053348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10F45">
        <w:rPr>
          <w:color w:val="000000"/>
          <w:sz w:val="28"/>
          <w:szCs w:val="28"/>
        </w:rPr>
        <w:t>-</w:t>
      </w:r>
      <w:r w:rsidRPr="007761B5">
        <w:rPr>
          <w:color w:val="000000"/>
          <w:sz w:val="28"/>
          <w:szCs w:val="28"/>
        </w:rPr>
        <w:t xml:space="preserve"> от контролируемого лица поступило уведомление об отзыве заявления;</w:t>
      </w:r>
    </w:p>
    <w:p w:rsidR="00533480" w:rsidRPr="007761B5" w:rsidRDefault="00533480" w:rsidP="0053348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10F45">
        <w:rPr>
          <w:color w:val="000000"/>
          <w:sz w:val="28"/>
          <w:szCs w:val="28"/>
        </w:rPr>
        <w:t>-</w:t>
      </w:r>
      <w:r w:rsidRPr="007761B5">
        <w:rPr>
          <w:color w:val="000000"/>
          <w:sz w:val="28"/>
          <w:szCs w:val="28"/>
        </w:rPr>
        <w:t xml:space="preserve">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533480" w:rsidRPr="007761B5" w:rsidRDefault="00533480" w:rsidP="0053348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10F45">
        <w:rPr>
          <w:color w:val="000000"/>
          <w:sz w:val="28"/>
          <w:szCs w:val="28"/>
        </w:rPr>
        <w:t>-</w:t>
      </w:r>
      <w:r w:rsidRPr="007761B5">
        <w:rPr>
          <w:color w:val="000000"/>
          <w:sz w:val="28"/>
          <w:szCs w:val="28"/>
        </w:rPr>
        <w:t xml:space="preserve">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533480" w:rsidRPr="007761B5" w:rsidRDefault="00533480" w:rsidP="00533480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  <w:r w:rsidRPr="00B10F45">
        <w:rPr>
          <w:color w:val="000000"/>
          <w:sz w:val="28"/>
          <w:szCs w:val="28"/>
        </w:rPr>
        <w:t>-</w:t>
      </w:r>
      <w:r w:rsidRPr="007761B5">
        <w:rPr>
          <w:color w:val="000000"/>
          <w:sz w:val="28"/>
          <w:szCs w:val="28"/>
        </w:rPr>
        <w:t xml:space="preserve">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:rsidR="00533480" w:rsidRDefault="00533480" w:rsidP="00533480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  <w:r w:rsidRPr="00B10F45">
        <w:rPr>
          <w:color w:val="000000"/>
          <w:sz w:val="28"/>
          <w:szCs w:val="28"/>
        </w:rPr>
        <w:t xml:space="preserve">- </w:t>
      </w:r>
      <w:r w:rsidRPr="007761B5">
        <w:rPr>
          <w:color w:val="000000"/>
          <w:sz w:val="28"/>
          <w:szCs w:val="28"/>
        </w:rPr>
        <w:t>контролируемое л</w:t>
      </w:r>
      <w:r w:rsidRPr="00B10F45">
        <w:rPr>
          <w:color w:val="000000"/>
          <w:sz w:val="28"/>
          <w:szCs w:val="28"/>
        </w:rPr>
        <w:t xml:space="preserve">ицо не соответствует критериям, </w:t>
      </w:r>
      <w:r w:rsidRPr="007761B5">
        <w:rPr>
          <w:color w:val="000000"/>
          <w:sz w:val="28"/>
          <w:szCs w:val="28"/>
        </w:rPr>
        <w:t>предусмотренным </w:t>
      </w:r>
      <w:hyperlink r:id="rId6" w:anchor="dst101392" w:history="1">
        <w:r w:rsidRPr="00B10F45">
          <w:rPr>
            <w:sz w:val="28"/>
            <w:szCs w:val="28"/>
          </w:rPr>
          <w:t>частью 1</w:t>
        </w:r>
      </w:hyperlink>
      <w:r w:rsidRPr="007761B5">
        <w:rPr>
          <w:color w:val="000000"/>
          <w:sz w:val="28"/>
          <w:szCs w:val="28"/>
        </w:rPr>
        <w:t>  статьи</w:t>
      </w:r>
      <w:r>
        <w:rPr>
          <w:color w:val="000000"/>
          <w:sz w:val="28"/>
          <w:szCs w:val="28"/>
        </w:rPr>
        <w:t xml:space="preserve"> 52.2 Федерального закона № 248-ФЗ от 31.07.2020г.</w:t>
      </w:r>
    </w:p>
    <w:p w:rsidR="00533480" w:rsidRDefault="00533480" w:rsidP="00533480">
      <w:pPr>
        <w:shd w:val="clear" w:color="auto" w:fill="FFFFFF"/>
        <w:ind w:firstLine="53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 от 31.07.2020г.»;</w:t>
      </w:r>
    </w:p>
    <w:p w:rsidR="00533480" w:rsidRPr="00D91913" w:rsidRDefault="00533480" w:rsidP="00533480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 xml:space="preserve">«2.7. </w:t>
      </w:r>
      <w:r w:rsidRPr="00D91913">
        <w:rPr>
          <w:sz w:val="28"/>
          <w:szCs w:val="28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</w:t>
      </w:r>
      <w:r>
        <w:rPr>
          <w:sz w:val="28"/>
          <w:szCs w:val="28"/>
        </w:rPr>
        <w:t>уемому лицу в случае наличия у А</w:t>
      </w:r>
      <w:r w:rsidRPr="00D91913">
        <w:rPr>
          <w:sz w:val="28"/>
          <w:szCs w:val="28"/>
        </w:rPr>
        <w:t>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</w:t>
      </w:r>
      <w:r>
        <w:rPr>
          <w:sz w:val="28"/>
          <w:szCs w:val="28"/>
        </w:rPr>
        <w:t xml:space="preserve"> (подписываются) Главой муниципального образования «</w:t>
      </w:r>
      <w:r w:rsidRPr="00D91913">
        <w:rPr>
          <w:sz w:val="28"/>
          <w:szCs w:val="28"/>
        </w:rPr>
        <w:t>Глинковск</w:t>
      </w:r>
      <w:r>
        <w:rPr>
          <w:sz w:val="28"/>
          <w:szCs w:val="28"/>
        </w:rPr>
        <w:t xml:space="preserve">ий муниципальный округ» </w:t>
      </w:r>
      <w:r w:rsidRPr="00D91913">
        <w:rPr>
          <w:sz w:val="28"/>
          <w:szCs w:val="28"/>
        </w:rPr>
        <w:t>Смоленской области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533480" w:rsidRPr="00D91913" w:rsidRDefault="00533480" w:rsidP="00533480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органом». </w:t>
      </w:r>
    </w:p>
    <w:p w:rsidR="00533480" w:rsidRDefault="00533480" w:rsidP="00533480">
      <w:pPr>
        <w:autoSpaceDE w:val="0"/>
        <w:ind w:firstLine="709"/>
        <w:jc w:val="both"/>
        <w:rPr>
          <w:sz w:val="28"/>
          <w:szCs w:val="28"/>
        </w:rPr>
      </w:pPr>
      <w:r w:rsidRPr="00D91913">
        <w:rPr>
          <w:sz w:val="28"/>
          <w:szCs w:val="28"/>
        </w:rPr>
        <w:lastRenderedPageBreak/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C349B" w:rsidRDefault="00533480" w:rsidP="00DC349B">
      <w:pPr>
        <w:jc w:val="both"/>
        <w:rPr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</w:t>
      </w:r>
      <w:r w:rsidR="00C67858">
        <w:rPr>
          <w:color w:val="000000"/>
          <w:sz w:val="30"/>
          <w:szCs w:val="30"/>
          <w:shd w:val="clear" w:color="auto" w:fill="FFFFFF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положением о виде контроля.».</w:t>
      </w:r>
    </w:p>
    <w:p w:rsidR="00DC349B" w:rsidRPr="00DC349B" w:rsidRDefault="00DC349B" w:rsidP="00DC34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C349B">
        <w:rPr>
          <w:sz w:val="28"/>
          <w:szCs w:val="28"/>
        </w:rPr>
        <w:t xml:space="preserve">  2. Настоящее решение вступает в силу со дня его официального опубликования в газете «Глинковский вестник». </w:t>
      </w:r>
    </w:p>
    <w:p w:rsidR="00B10F45" w:rsidRDefault="00B10F45" w:rsidP="00533480">
      <w:pPr>
        <w:jc w:val="both"/>
        <w:rPr>
          <w:color w:val="000000"/>
          <w:sz w:val="28"/>
          <w:szCs w:val="28"/>
        </w:rPr>
      </w:pPr>
    </w:p>
    <w:p w:rsidR="008B3AC4" w:rsidRDefault="008B3AC4" w:rsidP="00B10F45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</w:p>
    <w:p w:rsidR="008B3AC4" w:rsidRPr="007761B5" w:rsidRDefault="008B3AC4" w:rsidP="00B10F45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</w:p>
    <w:tbl>
      <w:tblPr>
        <w:tblW w:w="21024" w:type="dxa"/>
        <w:tblLayout w:type="fixed"/>
        <w:tblLook w:val="0000" w:firstRow="0" w:lastRow="0" w:firstColumn="0" w:lastColumn="0" w:noHBand="0" w:noVBand="0"/>
      </w:tblPr>
      <w:tblGrid>
        <w:gridCol w:w="10512"/>
        <w:gridCol w:w="10512"/>
      </w:tblGrid>
      <w:tr w:rsidR="008B3AC4" w:rsidRPr="00F00528" w:rsidTr="002C4DCB">
        <w:trPr>
          <w:trHeight w:val="1038"/>
        </w:trPr>
        <w:tc>
          <w:tcPr>
            <w:tcW w:w="5688" w:type="dxa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0"/>
              <w:gridCol w:w="5141"/>
            </w:tblGrid>
            <w:tr w:rsidR="008B3AC4" w:rsidTr="008B3AC4">
              <w:tc>
                <w:tcPr>
                  <w:tcW w:w="5140" w:type="dxa"/>
                </w:tcPr>
                <w:p w:rsidR="008B3AC4" w:rsidRPr="00E01D3C" w:rsidRDefault="008B3AC4" w:rsidP="008B3AC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E01D3C">
                    <w:rPr>
                      <w:b/>
                      <w:sz w:val="28"/>
                      <w:szCs w:val="28"/>
                    </w:rPr>
                    <w:t xml:space="preserve">Глава муниципального образования </w:t>
                  </w:r>
                </w:p>
                <w:p w:rsidR="008B3AC4" w:rsidRPr="00F00528" w:rsidRDefault="008B3AC4" w:rsidP="008B3AC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E01D3C">
                    <w:rPr>
                      <w:b/>
                      <w:sz w:val="28"/>
                      <w:szCs w:val="28"/>
                    </w:rPr>
                    <w:t>«Гл</w:t>
                  </w:r>
                  <w:r>
                    <w:rPr>
                      <w:b/>
                      <w:sz w:val="28"/>
                      <w:szCs w:val="28"/>
                    </w:rPr>
                    <w:t xml:space="preserve">инковский муниципальный округ»  </w:t>
                  </w:r>
                  <w:r w:rsidRPr="00E01D3C">
                    <w:rPr>
                      <w:b/>
                      <w:sz w:val="28"/>
                      <w:szCs w:val="28"/>
                    </w:rPr>
                    <w:t>Смоленской области</w:t>
                  </w:r>
                </w:p>
                <w:p w:rsidR="008B3AC4" w:rsidRDefault="008B3AC4" w:rsidP="008B3AC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Е.В. Кожухов</w:t>
                  </w:r>
                </w:p>
              </w:tc>
              <w:tc>
                <w:tcPr>
                  <w:tcW w:w="5141" w:type="dxa"/>
                </w:tcPr>
                <w:p w:rsidR="008B3AC4" w:rsidRPr="00F00528" w:rsidRDefault="008B3AC4" w:rsidP="008B3AC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F00528">
                    <w:rPr>
                      <w:b/>
                      <w:sz w:val="28"/>
                      <w:szCs w:val="28"/>
                    </w:rPr>
                    <w:t>Председатель Глинковского</w:t>
                  </w:r>
                </w:p>
                <w:p w:rsidR="008B3AC4" w:rsidRDefault="008B3AC4" w:rsidP="008B3AC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окружного </w:t>
                  </w:r>
                  <w:r w:rsidRPr="00F00528">
                    <w:rPr>
                      <w:b/>
                      <w:sz w:val="28"/>
                      <w:szCs w:val="28"/>
                    </w:rPr>
                    <w:t xml:space="preserve"> Совета депутатов    </w:t>
                  </w:r>
                </w:p>
                <w:p w:rsidR="008B3AC4" w:rsidRDefault="008B3AC4" w:rsidP="008B3AC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8B3AC4" w:rsidRDefault="008B3AC4" w:rsidP="008B3AC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Л.П.Зуева</w:t>
                  </w:r>
                  <w:r w:rsidRPr="00F00528">
                    <w:rPr>
                      <w:b/>
                      <w:sz w:val="28"/>
                      <w:szCs w:val="28"/>
                    </w:rPr>
                    <w:t xml:space="preserve">                                                          </w:t>
                  </w:r>
                </w:p>
              </w:tc>
            </w:tr>
          </w:tbl>
          <w:p w:rsidR="008B3AC4" w:rsidRPr="00F00528" w:rsidRDefault="008B3AC4" w:rsidP="008B3AC4">
            <w:pPr>
              <w:rPr>
                <w:b/>
                <w:sz w:val="28"/>
                <w:szCs w:val="28"/>
              </w:rPr>
            </w:pPr>
          </w:p>
        </w:tc>
        <w:tc>
          <w:tcPr>
            <w:tcW w:w="5688" w:type="dxa"/>
          </w:tcPr>
          <w:p w:rsidR="008B3AC4" w:rsidRPr="00F00528" w:rsidRDefault="008B3AC4" w:rsidP="002C4DCB">
            <w:pPr>
              <w:rPr>
                <w:b/>
                <w:sz w:val="28"/>
                <w:szCs w:val="28"/>
              </w:rPr>
            </w:pPr>
            <w:r w:rsidRPr="00F00528">
              <w:rPr>
                <w:b/>
                <w:sz w:val="28"/>
                <w:szCs w:val="28"/>
              </w:rPr>
              <w:t>Председатель Глинковского</w:t>
            </w:r>
          </w:p>
          <w:p w:rsidR="008B3AC4" w:rsidRDefault="008B3AC4" w:rsidP="002C4D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окружного </w:t>
            </w:r>
            <w:r w:rsidRPr="00F00528">
              <w:rPr>
                <w:b/>
                <w:sz w:val="28"/>
                <w:szCs w:val="28"/>
              </w:rPr>
              <w:t xml:space="preserve"> Совета депутатов    </w:t>
            </w:r>
          </w:p>
          <w:p w:rsidR="008B3AC4" w:rsidRDefault="008B3AC4" w:rsidP="002C4DCB">
            <w:pPr>
              <w:rPr>
                <w:b/>
                <w:sz w:val="28"/>
                <w:szCs w:val="28"/>
              </w:rPr>
            </w:pPr>
          </w:p>
          <w:p w:rsidR="008B3AC4" w:rsidRPr="00F00528" w:rsidRDefault="008B3AC4" w:rsidP="002C4D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Л.П.Зуева</w:t>
            </w:r>
            <w:r w:rsidRPr="00F00528">
              <w:rPr>
                <w:b/>
                <w:sz w:val="28"/>
                <w:szCs w:val="28"/>
              </w:rPr>
              <w:t xml:space="preserve">                                                          </w:t>
            </w:r>
          </w:p>
        </w:tc>
      </w:tr>
    </w:tbl>
    <w:p w:rsidR="007761B5" w:rsidRPr="00792A1A" w:rsidRDefault="007761B5" w:rsidP="007761B5">
      <w:pPr>
        <w:jc w:val="both"/>
      </w:pPr>
    </w:p>
    <w:sectPr w:rsidR="007761B5" w:rsidRPr="00792A1A" w:rsidSect="00792A1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8C"/>
    <w:rsid w:val="0017198C"/>
    <w:rsid w:val="001C3169"/>
    <w:rsid w:val="00533480"/>
    <w:rsid w:val="006A5B18"/>
    <w:rsid w:val="007761B5"/>
    <w:rsid w:val="00792A1A"/>
    <w:rsid w:val="00865AB8"/>
    <w:rsid w:val="008B3AC4"/>
    <w:rsid w:val="00B10F45"/>
    <w:rsid w:val="00BF23A0"/>
    <w:rsid w:val="00C56639"/>
    <w:rsid w:val="00C67858"/>
    <w:rsid w:val="00D521B7"/>
    <w:rsid w:val="00DC349B"/>
    <w:rsid w:val="00DD39D3"/>
    <w:rsid w:val="00DF6C86"/>
    <w:rsid w:val="00E5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A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A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92A1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761B5"/>
    <w:rPr>
      <w:color w:val="0000FF"/>
      <w:u w:val="single"/>
    </w:rPr>
  </w:style>
  <w:style w:type="table" w:styleId="a7">
    <w:name w:val="Table Grid"/>
    <w:basedOn w:val="a1"/>
    <w:uiPriority w:val="59"/>
    <w:rsid w:val="008B3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6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A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A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92A1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761B5"/>
    <w:rPr>
      <w:color w:val="0000FF"/>
      <w:u w:val="single"/>
    </w:rPr>
  </w:style>
  <w:style w:type="table" w:styleId="a7">
    <w:name w:val="Table Grid"/>
    <w:basedOn w:val="a1"/>
    <w:uiPriority w:val="59"/>
    <w:rsid w:val="008B3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8984/8be1c63130fb0c6d87913a15d23b831c36a3127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2026-04-13T12:08:00Z</cp:lastPrinted>
  <dcterms:created xsi:type="dcterms:W3CDTF">2026-03-19T08:19:00Z</dcterms:created>
  <dcterms:modified xsi:type="dcterms:W3CDTF">2026-04-14T09:03:00Z</dcterms:modified>
</cp:coreProperties>
</file>