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B3" w:rsidRDefault="00253BB3" w:rsidP="00253BB3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празднике</w:t>
      </w:r>
    </w:p>
    <w:p w:rsidR="001B6DEE" w:rsidRPr="002B3366" w:rsidRDefault="001B6DEE" w:rsidP="00B60422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февраля </w:t>
      </w:r>
      <w:r w:rsidR="00253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Православная церковь отмечает  праздник трех святителей:</w:t>
      </w:r>
      <w:bookmarkStart w:id="0" w:name="_GoBack"/>
      <w:bookmarkEnd w:id="0"/>
      <w:r w:rsidRPr="002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Василия Великого, Григория Богослов</w:t>
      </w:r>
      <w:proofErr w:type="gramStart"/>
      <w:r w:rsidRPr="002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Иоа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 Златоуста</w:t>
      </w:r>
      <w:r w:rsidRPr="002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из них был велик, и каждый из них был богослов, и каждый из них был прекрасный проповедник, златоуст. Но святая Церковь их называет различными именами, в силу того что в каждом из них было что-то особенное, и вместе прославляет, потому что все они одинаково Богу угодили.</w:t>
      </w:r>
    </w:p>
    <w:p w:rsidR="00253BB3" w:rsidRPr="00D67969" w:rsidRDefault="00253BB3" w:rsidP="00B60422">
      <w:pPr>
        <w:jc w:val="both"/>
        <w:rPr>
          <w:rFonts w:ascii="Times New Roman" w:hAnsi="Times New Roman" w:cs="Times New Roman"/>
          <w:sz w:val="28"/>
          <w:szCs w:val="28"/>
        </w:rPr>
      </w:pPr>
      <w:r w:rsidRPr="00D67969">
        <w:rPr>
          <w:rFonts w:ascii="Times New Roman" w:hAnsi="Times New Roman" w:cs="Times New Roman"/>
          <w:sz w:val="28"/>
          <w:szCs w:val="28"/>
        </w:rPr>
        <w:t>Установление празднования трем вселенским учителям разрешило долгий спор среди народа Константинополя о том, кому из трех святителей следует отдавать предпочтение</w:t>
      </w:r>
    </w:p>
    <w:p w:rsidR="00F6381E" w:rsidRDefault="00253BB3" w:rsidP="00B60422">
      <w:pPr>
        <w:jc w:val="both"/>
      </w:pPr>
      <w:r w:rsidRPr="00D67969">
        <w:rPr>
          <w:rFonts w:ascii="Times New Roman" w:hAnsi="Times New Roman" w:cs="Times New Roman"/>
          <w:sz w:val="28"/>
          <w:szCs w:val="28"/>
        </w:rPr>
        <w:t>Они стали свидетелями решающего для судеб христианства IV века момента столкновения языческой и христианской традиций, и наступления новой эпохи, завершившей духовные искания позднеантичного общества. В смуте и борениях перерождался старый мир.Жизнь и творения трех святителей помогают понять, как происходило взаимодействие античного наследия с христианской верой в сознании интеллектуальной элиты римского общества, как закладывались основы единения веры и разума, науки, образованности, не противоречащего подлинному благочестию. Святители не отрицали светской культуры, а призывали изучать ее, «уподобляясь пчелам, которые садятся не на все цветы равно, и с тех, на которые нападут, не все стараются унести, но, взяв, что пригодно на их дело, прочее оставляют нетронутым»</w:t>
      </w:r>
    </w:p>
    <w:sectPr w:rsidR="00F6381E" w:rsidSect="0060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33B"/>
    <w:rsid w:val="001B6DEE"/>
    <w:rsid w:val="00253BB3"/>
    <w:rsid w:val="00377F03"/>
    <w:rsid w:val="00604938"/>
    <w:rsid w:val="006F1F5A"/>
    <w:rsid w:val="00B60422"/>
    <w:rsid w:val="00C7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2016-02-09T12:28:00Z</dcterms:created>
  <dcterms:modified xsi:type="dcterms:W3CDTF">2016-02-09T12:37:00Z</dcterms:modified>
</cp:coreProperties>
</file>