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6052E8">
        <w:rPr>
          <w:b/>
          <w:sz w:val="28"/>
          <w:szCs w:val="28"/>
        </w:rPr>
        <w:t>РОМОДАНОВСКОГО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20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CB4065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 Административный регламент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предоставления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услуги «Предоставление разрешения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 отклонение от предельных параметров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разрешенного строительства 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 Ромодановского сельского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поселения Глинковского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20C65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 отклонение от предельных параметров разрешенного строительства на территории Ромодановского сельского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>поселения Глинковского района Смоленской области», утвержденный постановлением Администрации Ромодановского сельского поселения Глинковского района Смоленской области от 20.07.2015г. №27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6052E8">
        <w:rPr>
          <w:bCs/>
          <w:sz w:val="28"/>
          <w:szCs w:val="28"/>
        </w:rPr>
        <w:t>М.А.Леонов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C20C65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E1298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313E-BAC8-4943-9E3A-C04ED1F5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13</cp:revision>
  <dcterms:created xsi:type="dcterms:W3CDTF">2016-02-01T08:36:00Z</dcterms:created>
  <dcterms:modified xsi:type="dcterms:W3CDTF">2016-03-25T07:31:00Z</dcterms:modified>
</cp:coreProperties>
</file>