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F1E84" w:rsidRPr="00CF1E84" w:rsidRDefault="00DA5BAE" w:rsidP="00CF1E84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E">
        <w:rPr>
          <w:rFonts w:ascii="Tahoma" w:eastAsia="Times New Roman" w:hAnsi="Tahoma" w:cs="Tahoma"/>
          <w:color w:val="746070"/>
          <w:sz w:val="20"/>
          <w:szCs w:val="20"/>
          <w:lang w:eastAsia="ru-RU"/>
        </w:rPr>
        <w:t>  </w:t>
      </w:r>
      <w:r w:rsidR="00CF1E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8175" cy="723900"/>
            <wp:effectExtent l="0" t="0" r="9525" b="0"/>
            <wp:wrapSquare wrapText="left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E84" w:rsidRPr="00CF1E84" w:rsidRDefault="00CF1E84" w:rsidP="00CF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84" w:rsidRPr="00CF1E84" w:rsidRDefault="00CF1E84" w:rsidP="00CF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84" w:rsidRPr="00CF1E84" w:rsidRDefault="0012706C" w:rsidP="00CF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F1E84" w:rsidRPr="00CF1E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"A:\\Герб Смол. области-3.gif" \* MERGEFORMATINET </w:instrText>
      </w:r>
      <w:r w:rsidRPr="00CF1E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E58FE" w:rsidRPr="007E58FE" w:rsidRDefault="00CF1E84" w:rsidP="00CF1E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CF1E84" w:rsidRPr="007E58FE" w:rsidRDefault="007E58FE" w:rsidP="00CF1E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БЕРДНИКОВСКОГО</w:t>
      </w:r>
      <w:r w:rsidR="00CF1E84" w:rsidRPr="007E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F1E84" w:rsidRPr="007E58FE" w:rsidRDefault="00CF1E84" w:rsidP="00C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 РАЙОНА СМОЛЕНСКОЙ ОБЛАСТИ</w:t>
      </w:r>
    </w:p>
    <w:p w:rsidR="00CF1E84" w:rsidRPr="00CF1E84" w:rsidRDefault="00CF1E84" w:rsidP="00C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E84" w:rsidRPr="00CF1E84" w:rsidRDefault="00CF1E84" w:rsidP="00C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5BAE" w:rsidRPr="00CF1E84" w:rsidRDefault="00CF1E84" w:rsidP="00CF1E84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т </w:t>
      </w:r>
      <w:r w:rsidR="007E58FE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2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2 апреля 2016 г.      </w:t>
      </w:r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       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№</w:t>
      </w:r>
      <w:r w:rsidR="00385E83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</w:t>
      </w:r>
      <w:r w:rsidR="007E58FE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</w:t>
      </w:r>
    </w:p>
    <w:p w:rsidR="00CF1E84" w:rsidRPr="00CF1E84" w:rsidRDefault="00DA5BAE" w:rsidP="00CF1E84">
      <w:pPr>
        <w:shd w:val="clear" w:color="auto" w:fill="F4F6F7"/>
        <w:spacing w:after="0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Об утверждении Положения о порядке</w:t>
      </w:r>
    </w:p>
    <w:p w:rsidR="00CF1E84" w:rsidRPr="00CF1E84" w:rsidRDefault="00DA5BAE" w:rsidP="00CF1E84">
      <w:pPr>
        <w:shd w:val="clear" w:color="auto" w:fill="F4F6F7"/>
        <w:spacing w:after="0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приватизации муниципального имущества</w:t>
      </w:r>
    </w:p>
    <w:p w:rsidR="00DA5BAE" w:rsidRDefault="007E58FE" w:rsidP="00CF1E84">
      <w:pPr>
        <w:shd w:val="clear" w:color="auto" w:fill="F4F6F7"/>
        <w:spacing w:after="0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="00DA5BAE"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</w:t>
      </w:r>
    </w:p>
    <w:p w:rsidR="007E58FE" w:rsidRPr="00CF1E84" w:rsidRDefault="007E58FE" w:rsidP="00CF1E84">
      <w:pPr>
        <w:shd w:val="clear" w:color="auto" w:fill="F4F6F7"/>
        <w:spacing w:after="0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района Смоленской области</w:t>
      </w:r>
    </w:p>
    <w:p w:rsidR="00DA5BAE" w:rsidRPr="00CF1E84" w:rsidRDefault="00DA5BAE" w:rsidP="007E58FE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В соответствии с Федеральными законами  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</w:t>
      </w:r>
      <w:r w:rsidR="007E58FE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поселения, совет депутатов </w:t>
      </w:r>
      <w:r w:rsidR="007E58FE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</w:t>
      </w:r>
    </w:p>
    <w:p w:rsidR="00DA5BAE" w:rsidRPr="00CF1E84" w:rsidRDefault="00DA5BAE" w:rsidP="007E58FE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РЕШИЛ:</w:t>
      </w:r>
    </w:p>
    <w:p w:rsidR="00DA5BAE" w:rsidRPr="00CF1E84" w:rsidRDefault="00DA5BAE" w:rsidP="007E58FE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1. Утвердить Положение о порядке приватизации муниципального имущества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(Приложение).</w:t>
      </w:r>
    </w:p>
    <w:p w:rsidR="00DA5BAE" w:rsidRPr="00CF1E84" w:rsidRDefault="00DA5BAE" w:rsidP="007E58FE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2. </w:t>
      </w:r>
      <w:proofErr w:type="gramStart"/>
      <w:r w:rsidR="0082723D"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Р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азместить</w:t>
      </w:r>
      <w:proofErr w:type="gramEnd"/>
      <w:r w:rsidR="0082723D"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настоящее решение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в сети «Интернет» на сайте</w:t>
      </w:r>
      <w:r w:rsidR="00CF1E84"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Администрации муниципального образования «Глинковский район» Смоленской области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на странице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поселения.</w:t>
      </w:r>
    </w:p>
    <w:p w:rsidR="00DA5BAE" w:rsidRPr="00CF1E84" w:rsidRDefault="00DA5BAE" w:rsidP="007E58FE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3. </w:t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Контроль за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исполнением настоящего решения </w:t>
      </w:r>
      <w:r w:rsidR="00CF1E84"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оставляю за собой.</w:t>
      </w:r>
    </w:p>
    <w:p w:rsidR="00CF1E84" w:rsidRDefault="00CF1E84" w:rsidP="007E58FE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Глава муниципального образования</w:t>
      </w:r>
    </w:p>
    <w:p w:rsidR="00831A8B" w:rsidRDefault="00831A8B" w:rsidP="007E58FE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 сельского поселения</w:t>
      </w:r>
    </w:p>
    <w:p w:rsidR="00831A8B" w:rsidRDefault="00831A8B" w:rsidP="00831A8B">
      <w:pPr>
        <w:shd w:val="clear" w:color="auto" w:fill="F4F6F7"/>
        <w:tabs>
          <w:tab w:val="left" w:pos="569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Г.Н.Рябенкова</w:t>
      </w:r>
      <w:proofErr w:type="spellEnd"/>
    </w:p>
    <w:p w:rsidR="007E58FE" w:rsidRDefault="007E58FE" w:rsidP="007E58FE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</w:p>
    <w:p w:rsidR="00CF1E84" w:rsidRPr="00CF1E84" w:rsidRDefault="00CF1E84" w:rsidP="00DA5BAE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</w:p>
    <w:p w:rsidR="00385E83" w:rsidRDefault="007E58FE" w:rsidP="00CF1E84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</w:t>
      </w:r>
      <w:r w:rsidR="00B10FA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4D3EED" w:rsidRDefault="00385E83" w:rsidP="004D3EED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70"/>
          <w:lang w:eastAsia="ru-RU"/>
        </w:rPr>
      </w:pPr>
      <w:r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B10FA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</w:t>
      </w:r>
      <w:r w:rsidR="00DA5BAE" w:rsidRPr="004D3EED">
        <w:rPr>
          <w:rFonts w:ascii="Times New Roman" w:eastAsia="Times New Roman" w:hAnsi="Times New Roman" w:cs="Times New Roman"/>
          <w:color w:val="746070"/>
          <w:lang w:eastAsia="ru-RU"/>
        </w:rPr>
        <w:t>Приложение</w:t>
      </w:r>
    </w:p>
    <w:p w:rsidR="00DA5BAE" w:rsidRPr="004D3EED" w:rsidRDefault="004D3EED" w:rsidP="004D3EED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70"/>
          <w:lang w:eastAsia="ru-RU"/>
        </w:rPr>
      </w:pPr>
      <w:r>
        <w:rPr>
          <w:rFonts w:ascii="Times New Roman" w:eastAsia="Times New Roman" w:hAnsi="Times New Roman" w:cs="Times New Roman"/>
          <w:color w:val="746070"/>
          <w:lang w:eastAsia="ru-RU"/>
        </w:rPr>
        <w:t xml:space="preserve">                                                                                                                                           </w:t>
      </w:r>
      <w:r w:rsidR="00DA5BAE" w:rsidRPr="004D3EED">
        <w:rPr>
          <w:rFonts w:ascii="Times New Roman" w:eastAsia="Times New Roman" w:hAnsi="Times New Roman" w:cs="Times New Roman"/>
          <w:color w:val="746070"/>
          <w:lang w:eastAsia="ru-RU"/>
        </w:rPr>
        <w:t>Утверждено</w:t>
      </w:r>
    </w:p>
    <w:p w:rsidR="00DA5BAE" w:rsidRPr="004D3EED" w:rsidRDefault="00DA5BAE" w:rsidP="00DA5BAE">
      <w:pPr>
        <w:shd w:val="clear" w:color="auto" w:fill="F4F6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46070"/>
          <w:lang w:eastAsia="ru-RU"/>
        </w:rPr>
      </w:pPr>
      <w:r w:rsidRPr="004D3EED">
        <w:rPr>
          <w:rFonts w:ascii="Times New Roman" w:eastAsia="Times New Roman" w:hAnsi="Times New Roman" w:cs="Times New Roman"/>
          <w:color w:val="746070"/>
          <w:lang w:eastAsia="ru-RU"/>
        </w:rPr>
        <w:t>Решением совета депутатов</w:t>
      </w:r>
    </w:p>
    <w:p w:rsidR="00DA5BAE" w:rsidRPr="004D3EED" w:rsidRDefault="004D3EED" w:rsidP="00DA5BAE">
      <w:pPr>
        <w:shd w:val="clear" w:color="auto" w:fill="F4F6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46070"/>
          <w:lang w:eastAsia="ru-RU"/>
        </w:rPr>
      </w:pPr>
      <w:r w:rsidRPr="004D3EED">
        <w:rPr>
          <w:rFonts w:ascii="Times New Roman" w:eastAsia="Times New Roman" w:hAnsi="Times New Roman" w:cs="Times New Roman"/>
          <w:color w:val="746070"/>
          <w:lang w:eastAsia="ru-RU"/>
        </w:rPr>
        <w:t>Бердниковского</w:t>
      </w:r>
      <w:r w:rsidR="00DA5BAE" w:rsidRPr="004D3EED">
        <w:rPr>
          <w:rFonts w:ascii="Times New Roman" w:eastAsia="Times New Roman" w:hAnsi="Times New Roman" w:cs="Times New Roman"/>
          <w:color w:val="746070"/>
          <w:lang w:eastAsia="ru-RU"/>
        </w:rPr>
        <w:t xml:space="preserve"> сельского поселения</w:t>
      </w:r>
    </w:p>
    <w:p w:rsidR="00DA5BAE" w:rsidRPr="00CF1E84" w:rsidRDefault="001C4BDA" w:rsidP="004D3EED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4D3EED">
        <w:rPr>
          <w:rFonts w:ascii="Times New Roman" w:eastAsia="Times New Roman" w:hAnsi="Times New Roman" w:cs="Times New Roman"/>
          <w:color w:val="746070"/>
          <w:lang w:eastAsia="ru-RU"/>
        </w:rPr>
        <w:t xml:space="preserve">                                                                         </w:t>
      </w:r>
      <w:r w:rsidR="00385E83" w:rsidRPr="004D3EED">
        <w:rPr>
          <w:rFonts w:ascii="Times New Roman" w:eastAsia="Times New Roman" w:hAnsi="Times New Roman" w:cs="Times New Roman"/>
          <w:color w:val="746070"/>
          <w:lang w:eastAsia="ru-RU"/>
        </w:rPr>
        <w:t xml:space="preserve">                  </w:t>
      </w:r>
      <w:r w:rsidR="004D3EED">
        <w:rPr>
          <w:rFonts w:ascii="Times New Roman" w:eastAsia="Times New Roman" w:hAnsi="Times New Roman" w:cs="Times New Roman"/>
          <w:color w:val="746070"/>
          <w:lang w:eastAsia="ru-RU"/>
        </w:rPr>
        <w:t xml:space="preserve">              </w:t>
      </w:r>
      <w:r w:rsidRPr="004D3EED">
        <w:rPr>
          <w:rFonts w:ascii="Times New Roman" w:eastAsia="Times New Roman" w:hAnsi="Times New Roman" w:cs="Times New Roman"/>
          <w:color w:val="746070"/>
          <w:lang w:eastAsia="ru-RU"/>
        </w:rPr>
        <w:t xml:space="preserve"> </w:t>
      </w:r>
      <w:r w:rsidR="004D3EED">
        <w:rPr>
          <w:rFonts w:ascii="Times New Roman" w:eastAsia="Times New Roman" w:hAnsi="Times New Roman" w:cs="Times New Roman"/>
          <w:color w:val="746070"/>
          <w:lang w:eastAsia="ru-RU"/>
        </w:rPr>
        <w:t xml:space="preserve">                    </w:t>
      </w:r>
      <w:r w:rsidR="00DA5BAE" w:rsidRPr="004D3EED">
        <w:rPr>
          <w:rFonts w:ascii="Times New Roman" w:eastAsia="Times New Roman" w:hAnsi="Times New Roman" w:cs="Times New Roman"/>
          <w:color w:val="746070"/>
          <w:lang w:eastAsia="ru-RU"/>
        </w:rPr>
        <w:t xml:space="preserve">от </w:t>
      </w:r>
      <w:r w:rsidR="004D3EED">
        <w:rPr>
          <w:rFonts w:ascii="Times New Roman" w:eastAsia="Times New Roman" w:hAnsi="Times New Roman" w:cs="Times New Roman"/>
          <w:color w:val="746070"/>
          <w:lang w:eastAsia="ru-RU"/>
        </w:rPr>
        <w:t>2</w:t>
      </w:r>
      <w:r w:rsidRPr="004D3EED">
        <w:rPr>
          <w:rFonts w:ascii="Times New Roman" w:eastAsia="Times New Roman" w:hAnsi="Times New Roman" w:cs="Times New Roman"/>
          <w:color w:val="746070"/>
          <w:lang w:eastAsia="ru-RU"/>
        </w:rPr>
        <w:t>2</w:t>
      </w:r>
      <w:r w:rsidR="00DA5BAE" w:rsidRPr="004D3EED">
        <w:rPr>
          <w:rFonts w:ascii="Times New Roman" w:eastAsia="Times New Roman" w:hAnsi="Times New Roman" w:cs="Times New Roman"/>
          <w:color w:val="746070"/>
          <w:lang w:eastAsia="ru-RU"/>
        </w:rPr>
        <w:t>.0</w:t>
      </w:r>
      <w:r w:rsidRPr="004D3EED">
        <w:rPr>
          <w:rFonts w:ascii="Times New Roman" w:eastAsia="Times New Roman" w:hAnsi="Times New Roman" w:cs="Times New Roman"/>
          <w:color w:val="746070"/>
          <w:lang w:eastAsia="ru-RU"/>
        </w:rPr>
        <w:t>4</w:t>
      </w:r>
      <w:r w:rsidR="00DA5BAE" w:rsidRPr="004D3EED">
        <w:rPr>
          <w:rFonts w:ascii="Times New Roman" w:eastAsia="Times New Roman" w:hAnsi="Times New Roman" w:cs="Times New Roman"/>
          <w:color w:val="746070"/>
          <w:lang w:eastAsia="ru-RU"/>
        </w:rPr>
        <w:t>.201</w:t>
      </w:r>
      <w:r w:rsidRPr="004D3EED">
        <w:rPr>
          <w:rFonts w:ascii="Times New Roman" w:eastAsia="Times New Roman" w:hAnsi="Times New Roman" w:cs="Times New Roman"/>
          <w:color w:val="746070"/>
          <w:lang w:eastAsia="ru-RU"/>
        </w:rPr>
        <w:t>6</w:t>
      </w:r>
      <w:r w:rsidR="00DA5BAE" w:rsidRPr="004D3EED">
        <w:rPr>
          <w:rFonts w:ascii="Times New Roman" w:eastAsia="Times New Roman" w:hAnsi="Times New Roman" w:cs="Times New Roman"/>
          <w:color w:val="746070"/>
          <w:lang w:eastAsia="ru-RU"/>
        </w:rPr>
        <w:t xml:space="preserve"> г. № </w:t>
      </w:r>
      <w:r w:rsidR="00385E83" w:rsidRPr="004D3EED">
        <w:rPr>
          <w:rFonts w:ascii="Times New Roman" w:eastAsia="Times New Roman" w:hAnsi="Times New Roman" w:cs="Times New Roman"/>
          <w:color w:val="746070"/>
          <w:lang w:eastAsia="ru-RU"/>
        </w:rPr>
        <w:t>1</w:t>
      </w:r>
      <w:r w:rsidR="004D3EED">
        <w:rPr>
          <w:rFonts w:ascii="Times New Roman" w:eastAsia="Times New Roman" w:hAnsi="Times New Roman" w:cs="Times New Roman"/>
          <w:color w:val="746070"/>
          <w:lang w:eastAsia="ru-RU"/>
        </w:rPr>
        <w:t>1</w:t>
      </w:r>
      <w:r w:rsidR="00DA5BAE"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DA5BAE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ПОЛОЖЕНИЕ</w:t>
      </w:r>
    </w:p>
    <w:p w:rsidR="00DA5BAE" w:rsidRPr="00CF1E84" w:rsidRDefault="00DA5BAE" w:rsidP="00DA5BAE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о порядке и условиях приватизации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</w:t>
      </w: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 xml:space="preserve">муниципального имущества </w:t>
      </w:r>
    </w:p>
    <w:p w:rsidR="00DA5BAE" w:rsidRPr="00CF1E84" w:rsidRDefault="004D3EED" w:rsidP="00DA5BAE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Бердниковского</w:t>
      </w:r>
      <w:r w:rsidR="00DA5BAE"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 xml:space="preserve"> сельского поселения</w:t>
      </w:r>
    </w:p>
    <w:p w:rsidR="00DA5BAE" w:rsidRPr="00CF1E84" w:rsidRDefault="00DA5BAE" w:rsidP="00DA5BAE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</w:t>
      </w: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 xml:space="preserve">Глава 1. Общие положения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</w:t>
      </w:r>
    </w:p>
    <w:p w:rsidR="004D3EED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1.1. </w:t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Настоящее Положение разработано в соответствии  Федеральными законами  от 06.10.2003 N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</w:t>
      </w:r>
      <w:r w:rsidRPr="00CF1E84">
        <w:rPr>
          <w:rFonts w:ascii="Times New Roman" w:eastAsia="Times New Roman" w:hAnsi="Times New Roman" w:cs="Times New Roman"/>
          <w:i/>
          <w:iCs/>
          <w:color w:val="746070"/>
          <w:sz w:val="28"/>
          <w:szCs w:val="28"/>
          <w:lang w:eastAsia="ru-RU"/>
        </w:rPr>
        <w:t xml:space="preserve">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от 22.07.2008 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отдельные законодательные акты Российской Федерации», Гражданским кодексом Российской Федерации, Постановлением Правительства РФ от 22.07.2002 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1.3. Органом, осуществляющим приватизацию муниципального имущества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поселения, является администрация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(далее — Администрация).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1.4. Муниципальные унитарные предприятия и муниципальные учреждения, а также юридические лица, в уставном капитале которых доля муниципальной собственности превышает 25%, не могут быть покупателями муниципального имущества, кроме случаев, предусмотренных действующим законодательством.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 xml:space="preserve">Глава 2. Основные цели и задачи приватизации муниципального имущества 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2.1. Повышение эффективности использования муниципального имущества.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2.2. Увеличение неналоговых поступлений в бюджет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от приватизации имущества.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2.3. Выявление и приватизация неиспользуемых и убыточных объектов на территории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(в том числе объектов незавершенного строительства).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2.4.  Освобождение от непрофильного имущества, обремененного содержанием за счет средств местного бюджета.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2.5. </w:t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Контроль  за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использованием и сохранностью муниципального       имущества,  в том числе за выполнением взятых на себя </w:t>
      </w:r>
      <w:r w:rsidR="001C4BDA"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бязательств       лицами,   приватизировавшими   муниципальное  имущество.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2.6. Формирование условий для развития малого и среднего предпринимательства на территории поселения.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2.7. Улучшение архитектурного облика 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2.8. Компенсационное  строительство  на месте проданных ветхих строений.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2.9. Сохранение  облика  приватизируемых памятников культуры и  архитектуры.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 xml:space="preserve">Глава 3. Планирование приватизации муниципального имущества 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3.3. Администрация разрабатывает и выносит прогнозный план (программу) на утверждение совета депутатов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3.4. Решения о включении или исключении объектов из прогнозного плана (программы) приватизации муниципального имущества, принимаются  советом депутатов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поселения.</w:t>
      </w:r>
    </w:p>
    <w:p w:rsidR="004D3EED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совет депутатов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до 1 марта.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 xml:space="preserve">Глава 4. Ограничения для приватизации муниципального имущества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4.1. Ограничения по приватизации муниципального имущества устанавливаются в соответствии с действующим законодательством о пр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и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ватизации.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 xml:space="preserve">Глава 5. Порядок и способы приватизации муниципального имущества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проведение обследования и технической инвентаризации объекта недвижимости (здания, помещений);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проведение государственной регистрации права муниципальной собственности на объект недвижимости;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получение охранных обязатель</w:t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ств в сл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проведение оценки рыночной стоимости приватизируемого муниципального имущества.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5.3. В результате мероприятий (выполненных действий) по предпродажной подготовке объектов приватизации Администрация  утверждает постановлением: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наименование имущества и иные данные, позволяющие его индивидуализировать (характеристика имущества);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способ приватизации (в соответствии с планом приватизации);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начальную (нормативную) цену продажи;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сроки продажи, в том числе срок рассрочки платежа (в случае ее предоставления);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способ приватизации имущества;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начальная цена;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- срок рассрочки платежа (если она предоставляется);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5.6. Документы, предоставляемые покупателями муниципального имущества: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заявка;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платежный документ с отметкой банка об исполнении, подтверждающий внесение установленного задатка;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справка налоговой инспекции, подтверждающая отсутствие просроченной задолженности по налоговым платежам в бюджеты всех уровней по состоянию на последний квартал;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документ,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Физические лица предъявляют документ, удостоверяющий личность.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Юридические лица предоставляют дополнительно следующие документы: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нотариально заверенные копии учредительных документов (устав, учредительный договор, свидетельство о внесении в Единый государственный реестр юридических лиц);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сведения о доле РФ, субъекта РФ или муниципального образования в уставном капитале юридического лица;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иные документы, требование к предоставлению которых может быть установлено федеральным законом;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- опись представленных документов.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В случае подачи заявки представителем претендента предъявляется нотариально удостоверенная доверенность.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преобразование муниципальных предприятий в открытые акционерные общества;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продажа муниципального имущества на аукционе;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продажа муниципального имущества на конкурсе;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продажа муниципального имущества посредством публичного предложения;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продажа муниципального имущества без объявления цены;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внесение муниципального имущества в качестве вклада в уставные капиталы открытых акционерных обществ;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продажа муниципального имущества иным способом, установленным действующим законодательством.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5.9. Порядок осуществления приватизации указанными способами определяется администрацией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 Российской Федерации.</w:t>
      </w: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Глава 6. Особенности приватизации отдельных видов имущества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6.1.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 xml:space="preserve">6.2. Приватизация имущественных комплексов унитарных предприятий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осуществляется одновременно с отчуждением покупателю следующих земельных участков: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- находящихся у унитарного предприятия на праве постоянного (бессрочного) пользования или аренды;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6.3.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6.4.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6.5. При отчуждении муниципального имущества в порядке приватизации соответствующее имущество может быть обременено ограничениями.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6.6. Ограничениями могут являться: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 xml:space="preserve"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</w:t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( 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для объектов недвижимости), назначению с приватизированным имуществом,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- иные обязанности, предусмотренные федеральным законом или в установленном им порядке.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 xml:space="preserve">6.7.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используемых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по назначению: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объектов, обеспечивающих нужды органов социальной защиты населения;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- объектов здравоохранения, образования, культуры, предназначенных для обслуживания жителей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</w:t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сельское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поселения;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детских оздоровительных комплексов (дач, лагерей);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- жилищного фонда и объектов инфраструктуры;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- объектов транспорта и энергетики, предназначенных для обслуживания жителей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поселения.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6.8.  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6.9.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6.10. Объекты  культурного  наследия  (памятники   истории   и       культуры,  а  также выявленные объекты культурного наследия) могут       приватизироваться  в  порядке  и  способами,  которые  установлены       федеральным   законодательством,   при   условии   их  обременения       обязательствами по содержанию, сохранению и использованию (далее -       охранное обязательство).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Условия охранных  обязательств  в   отношении   отнесенных   к       объектам культурного наследия архитектурных ансамблей, усадебных и       дворцово-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парковых   комплексов,   являющихся   сложными    вещами,       распространяются на все их составные части.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6.11. Условия  охранных  обязательств  в  отношении   объектов       культурного    наследия    федерального    значения   определяются       федеральным  органом  охраны  объектов  культурного  наследия,   в       отношении  объектов  культурного наследия регионального значения и       муниципального значения - органами исполнительной власти субъектов Российской  Федерации,  уполномоченными  в области охраны объектов       культурного    наследия,    в    соответствии    с     федеральным       законодательством.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6.12. Охранное   обязательство    оформляется    в    порядке,       установленном   федеральным   законодательством,   одновременно  с      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Глава 7. Организационное и информационное обеспечение приватизации муниципального имущества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7.1. Организационное обеспечение.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Организационное обеспечение процесса приватизации возлагается на Комиссию по приватизации муниципального имущества администрации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(далее — Комиссия). Состав Комиссии и Положение о Комиссии утверждаются постановлением главы Администрации, который  является председателем Комиссии.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7.2. Информационное обеспечение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7.2.1. Прогнозный план (программа), а также решения об условиях приватизации муниципального имущества подлежат размещению в сети «Интернет» на сайте </w:t>
      </w:r>
      <w:r w:rsidR="009B65A2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Администрации муниципального образования «Глинковский район» Смоленской области на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странице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7.2.2. Информационное сообщение о продаже муниципального имущества  подлежит размещению и в сети «Интернет» на сайте </w:t>
      </w:r>
      <w:r w:rsidR="00F9791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Администрации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муниципального </w:t>
      </w:r>
      <w:r w:rsidR="00F9791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образования «Глинковский район»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на странице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не менее чем за тридцать дней до дня осуществления продажи указанного имущества, если иное не предусмотрено действующим законодательством.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7.2.3. Обязательному опубликованию в информационном сообщении о продаже муниципального имущества подлежат следующие сведения: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1) наименование органа, принявшего решение о приватизации, реквизиты указанного решения;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2) наименование имущества и его характеристика;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3) способ приватизации;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4) начальная цена;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5) форма подачи предложения о цене;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7) порядок, место, даты начала и окончания приема заявок (предложений);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8) исчерпывающий перечень предоставляемых покупателями документов;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9)с рок заключения договора купли-продажи;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10) ограничения участия отдельных категорий физических и юридических лиц в приватизации такого имущества;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11) порядок ознакомления покупателей с иной информацией;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ограничения участия отдельных категорий физических лиц и юридических лиц в приватизации такого имущества;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12) порядок определения победителей (при проведен</w:t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ии ау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13) место и срок подведения итогов продажи муниципального имущества.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7.2.4.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1) полное наименование, почтовый адрес и местонахождение открытого акционерного общества;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2) размер уставного капитала, общее количество и категории выпущенных акций, их номинальная стоимость;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3) площадь земельного участка, на котором расположено недвижимое имущество открытого акционерного общества;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4) обязательства общества, в том числе перед федеральным бюджетом, местным бюджетом, государственными внебюджетными фондами;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5) балансовый отчет на последнюю отчетную дату перед опубликованием информационного сообщения;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6) перечень основной продукции (работ, услуг), производство которой осуществляется открытым акционерным обществом;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7) численность работников открытого акционерного общества;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8)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35%.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7.2.5. Информационное сообщение о продаже  муниципального имущества, размещаемое на сайте в сети «Интернет», наряду со сведениями, предусмотренными </w:t>
      </w:r>
      <w:hyperlink r:id="rId7" w:history="1">
        <w:r w:rsidRPr="00CF1E84">
          <w:rPr>
            <w:rFonts w:ascii="Times New Roman" w:eastAsia="Times New Roman" w:hAnsi="Times New Roman" w:cs="Times New Roman"/>
            <w:color w:val="70BDD9"/>
            <w:sz w:val="28"/>
            <w:szCs w:val="28"/>
            <w:u w:val="single"/>
            <w:lang w:eastAsia="ru-RU"/>
          </w:rPr>
          <w:t>пунктами 6.2.3</w:t>
        </w:r>
      </w:hyperlink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и 6.2.</w:t>
      </w:r>
      <w:hyperlink r:id="rId8" w:history="1">
        <w:r w:rsidRPr="00CF1E84">
          <w:rPr>
            <w:rFonts w:ascii="Times New Roman" w:eastAsia="Times New Roman" w:hAnsi="Times New Roman" w:cs="Times New Roman"/>
            <w:color w:val="70BDD9"/>
            <w:sz w:val="28"/>
            <w:szCs w:val="28"/>
            <w:u w:val="single"/>
            <w:lang w:eastAsia="ru-RU"/>
          </w:rPr>
          <w:t>4</w:t>
        </w:r>
      </w:hyperlink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u w:val="single"/>
          <w:lang w:eastAsia="ru-RU"/>
        </w:rPr>
        <w:t xml:space="preserve">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настоящей главы, должно содержать следующие сведения: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1) требования к оформлению представляемых покупателями документов;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2) бухгалтерская отчетность открытого акционерного общества на последнюю отчетную дату, предшествующую дате опубликования информационного сообщения;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4) численность работников открытого акционерного общества;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7.2.6. К информации о результатах сделок приватизации муниципального имущества, подлежащей размещению на сайте в сети «Интернет», относятся: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2) дата и место проведения торгов;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3) наименование продавца такого имущества;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4) количество поданных заявок;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5) лица, признанные участниками торгов;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6) цена сделки приватизации;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7) имя физического лица или наименование юридического лица - покупателя.</w:t>
      </w: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Глава 8. Оформление купли-продажи муниципального имущества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8.1. Продажа муниципального имущества оформляется договором купли-продажи.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Обязательными условиями договора купли-продажи муниципального имущества являются: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1) сведения о сторонах договора;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2) наименование муниципального имущества;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3) место его нахождения;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4) состав и цена муниципального имущества;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5) количество акций открытого акционерного общества, их категория и стоимость;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6) порядок и срок передачи муниципального имущества (в соответствии с действующим законодательством РФ в собственность покупателя;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7) форма и сроки платежа за приобретенное имущество;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8) условия в соответствии с которыми указанное имущество было приобретено покупателем;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 xml:space="preserve">10) сведения о наличии в отношении продаваемого муниципального имущества обременения </w:t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( 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в том числе публичного сервитута), сохраняемого при переходе прав на это имущество;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11) иные условия, установленные сторонами такого договора по взаимному соглашению.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 xml:space="preserve">8.2.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государственную регистрацию прав на недвижимое имущество и сделок с ним, перехода права собственности на такое имущество.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8.3. В случае</w:t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,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8.4.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8.5.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Глава 9. Оплата и распределение денежных средств, полученных в результате приватизации имущества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9.1. Средства, полученные от продажи муниципального имущества, подлежат зачислению в бюджет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в полном объеме.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9.2.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9.3. Решение об оплате в рассрочку приобретаемого муниципального имущества принимается главой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в соответствии с Федеральным законом о приватизации.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9.4. Покупатель вправе оплатить приобретаемое муниципальное имущество досрочно.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9.5.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lastRenderedPageBreak/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9.6.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9.7. Продавец вправе взыскать неустойку (штраф, пеню), предусмотренную действующим законодательством </w:t>
      </w:r>
      <w:proofErr w:type="gramStart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и(</w:t>
      </w:r>
      <w:proofErr w:type="gramEnd"/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или) договором купли-продажи, в установленном порядке.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9.8.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Глава 10. Порядок разрешения споров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10.1. Возникшие споры по сделкам приватизации рассматриваются в судебном порядке в соответствии с действующим законодательством.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Глава 11. Заключительные положения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 </w:t>
      </w:r>
    </w:p>
    <w:p w:rsidR="00DA5BAE" w:rsidRPr="00CF1E84" w:rsidRDefault="00DA5BAE" w:rsidP="004D3EED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11.1.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r w:rsidR="004D3EED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>Бердниковского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t xml:space="preserve"> сельского поселения в установленном порядке.</w:t>
      </w:r>
      <w:r w:rsidRPr="00CF1E84">
        <w:rPr>
          <w:rFonts w:ascii="Times New Roman" w:eastAsia="Times New Roman" w:hAnsi="Times New Roman" w:cs="Times New Roman"/>
          <w:color w:val="746070"/>
          <w:sz w:val="28"/>
          <w:szCs w:val="28"/>
          <w:lang w:eastAsia="ru-RU"/>
        </w:rPr>
        <w:br/>
        <w:t>11.2.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  <w:r w:rsidRPr="00CF1E84"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  <w:t> </w:t>
      </w:r>
    </w:p>
    <w:p w:rsidR="00EA4C2B" w:rsidRPr="00CF1E84" w:rsidRDefault="00EA4C2B" w:rsidP="004D3E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C2B" w:rsidRPr="00CF1E84" w:rsidSect="0012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DA5BAE"/>
    <w:rsid w:val="0012706C"/>
    <w:rsid w:val="001C4BDA"/>
    <w:rsid w:val="00385E83"/>
    <w:rsid w:val="004D3EED"/>
    <w:rsid w:val="007E58FE"/>
    <w:rsid w:val="0082723D"/>
    <w:rsid w:val="00831A8B"/>
    <w:rsid w:val="009B65A2"/>
    <w:rsid w:val="00B10FA4"/>
    <w:rsid w:val="00CF1E84"/>
    <w:rsid w:val="00DA5BAE"/>
    <w:rsid w:val="00EA4C2B"/>
    <w:rsid w:val="00F9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7141;fld=134;dst=5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7141;fld=134;dst=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5274-10DE-4321-A2DA-D59E7979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2016-04-22T13:45:00Z</cp:lastPrinted>
  <dcterms:created xsi:type="dcterms:W3CDTF">2016-04-22T13:46:00Z</dcterms:created>
  <dcterms:modified xsi:type="dcterms:W3CDTF">2016-04-22T13:46:00Z</dcterms:modified>
</cp:coreProperties>
</file>