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1062"/>
        <w:gridCol w:w="1062"/>
      </w:tblGrid>
      <w:tr w:rsidR="005C79E4" w:rsidTr="009B3D92">
        <w:tc>
          <w:tcPr>
            <w:tcW w:w="1063" w:type="dxa"/>
          </w:tcPr>
          <w:p w:rsidR="005C79E4" w:rsidRDefault="005C79E4" w:rsidP="00F81F93">
            <w:pPr>
              <w:spacing w:line="200" w:lineRule="atLeast"/>
              <w:jc w:val="both"/>
            </w:pPr>
          </w:p>
        </w:tc>
        <w:tc>
          <w:tcPr>
            <w:tcW w:w="1063" w:type="dxa"/>
          </w:tcPr>
          <w:p w:rsidR="005C79E4" w:rsidRDefault="005C79E4" w:rsidP="00F81F93">
            <w:pPr>
              <w:spacing w:line="200" w:lineRule="atLeast"/>
              <w:jc w:val="both"/>
            </w:pPr>
          </w:p>
        </w:tc>
        <w:tc>
          <w:tcPr>
            <w:tcW w:w="1062" w:type="dxa"/>
          </w:tcPr>
          <w:p w:rsidR="005C79E4" w:rsidRDefault="005C79E4" w:rsidP="00F81F93">
            <w:pPr>
              <w:spacing w:line="200" w:lineRule="atLeast"/>
              <w:jc w:val="right"/>
            </w:pPr>
          </w:p>
        </w:tc>
        <w:tc>
          <w:tcPr>
            <w:tcW w:w="1062" w:type="dxa"/>
          </w:tcPr>
          <w:p w:rsidR="005C79E4" w:rsidRPr="002320CF" w:rsidRDefault="005C79E4" w:rsidP="00F81F93">
            <w:pPr>
              <w:spacing w:line="200" w:lineRule="atLeast"/>
              <w:jc w:val="right"/>
              <w:rPr>
                <w:sz w:val="22"/>
                <w:szCs w:val="22"/>
              </w:rPr>
            </w:pPr>
          </w:p>
        </w:tc>
      </w:tr>
    </w:tbl>
    <w:p w:rsidR="005C79E4" w:rsidRDefault="005C79E4" w:rsidP="005C79E4">
      <w:pPr>
        <w:spacing w:line="200" w:lineRule="atLeast"/>
        <w:ind w:left="426" w:firstLine="283"/>
        <w:jc w:val="both"/>
      </w:pPr>
    </w:p>
    <w:p w:rsidR="005C79E4" w:rsidRDefault="005C79E4" w:rsidP="005C79E4">
      <w:pPr>
        <w:spacing w:line="200" w:lineRule="atLeast"/>
        <w:ind w:left="426" w:firstLine="283"/>
        <w:jc w:val="both"/>
      </w:pPr>
      <w:r>
        <w:rPr>
          <w:noProof/>
        </w:rPr>
        <w:drawing>
          <wp:anchor distT="0" distB="0" distL="114935" distR="114935" simplePos="0" relativeHeight="251659776" behindDoc="1" locked="0" layoutInCell="1" allowOverlap="1" wp14:anchorId="15BCC79E" wp14:editId="0642C115">
            <wp:simplePos x="0" y="0"/>
            <wp:positionH relativeFrom="column">
              <wp:posOffset>2947035</wp:posOffset>
            </wp:positionH>
            <wp:positionV relativeFrom="paragraph">
              <wp:posOffset>-173990</wp:posOffset>
            </wp:positionV>
            <wp:extent cx="695325" cy="800100"/>
            <wp:effectExtent l="0" t="0" r="952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C79E4" w:rsidRDefault="005C79E4" w:rsidP="005C79E4">
      <w:pPr>
        <w:spacing w:line="200" w:lineRule="atLeast"/>
        <w:ind w:left="426" w:firstLine="283"/>
        <w:jc w:val="both"/>
        <w:rPr>
          <w:b/>
          <w:bCs/>
        </w:rPr>
      </w:pPr>
    </w:p>
    <w:p w:rsidR="005C79E4" w:rsidRDefault="005C79E4" w:rsidP="005C79E4">
      <w:pPr>
        <w:spacing w:line="200" w:lineRule="atLeast"/>
        <w:ind w:left="426" w:firstLine="283"/>
        <w:rPr>
          <w:b/>
          <w:bCs/>
          <w:sz w:val="28"/>
          <w:szCs w:val="28"/>
        </w:rPr>
      </w:pPr>
    </w:p>
    <w:p w:rsidR="005C79E4" w:rsidRDefault="005C79E4" w:rsidP="005C79E4">
      <w:pPr>
        <w:spacing w:line="200" w:lineRule="atLeast"/>
        <w:ind w:left="426" w:firstLine="283"/>
        <w:rPr>
          <w:b/>
          <w:bCs/>
          <w:sz w:val="28"/>
          <w:szCs w:val="28"/>
        </w:rPr>
      </w:pPr>
    </w:p>
    <w:p w:rsidR="005C79E4" w:rsidRDefault="005C79E4" w:rsidP="005C79E4">
      <w:pPr>
        <w:spacing w:line="200" w:lineRule="atLeast"/>
        <w:ind w:left="426"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5C79E4" w:rsidRDefault="005C79E4" w:rsidP="005C79E4">
      <w:pPr>
        <w:spacing w:line="200" w:lineRule="atLeast"/>
        <w:ind w:left="426"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«ГЛИНКОВСКИЙ МУНИЦИПАЛЬНЫЙ ОКРУГ»</w:t>
      </w:r>
    </w:p>
    <w:p w:rsidR="005C79E4" w:rsidRDefault="005C79E4" w:rsidP="005C79E4">
      <w:pPr>
        <w:spacing w:line="200" w:lineRule="atLeast"/>
        <w:ind w:left="426"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СМОЛЕНСКОЙ ОБЛАСТИ</w:t>
      </w:r>
    </w:p>
    <w:p w:rsidR="005C79E4" w:rsidRDefault="005C79E4" w:rsidP="005C79E4">
      <w:pPr>
        <w:spacing w:line="200" w:lineRule="atLeast"/>
        <w:ind w:left="426" w:firstLine="283"/>
        <w:jc w:val="both"/>
        <w:rPr>
          <w:b/>
          <w:bCs/>
          <w:spacing w:val="32"/>
          <w:sz w:val="28"/>
          <w:szCs w:val="28"/>
        </w:rPr>
      </w:pPr>
    </w:p>
    <w:p w:rsidR="005C79E4" w:rsidRDefault="005C79E4" w:rsidP="005C79E4">
      <w:pPr>
        <w:spacing w:line="200" w:lineRule="atLeast"/>
        <w:ind w:left="426" w:firstLine="283"/>
        <w:jc w:val="center"/>
        <w:rPr>
          <w:b/>
          <w:bCs/>
          <w:spacing w:val="40"/>
          <w:sz w:val="28"/>
          <w:szCs w:val="28"/>
        </w:rPr>
      </w:pPr>
    </w:p>
    <w:p w:rsidR="005C79E4" w:rsidRDefault="005C79E4" w:rsidP="005C79E4">
      <w:pPr>
        <w:spacing w:line="200" w:lineRule="atLeast"/>
        <w:ind w:left="426" w:firstLine="283"/>
        <w:jc w:val="center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ПОСТАНОВЛЕНИЕ</w:t>
      </w:r>
    </w:p>
    <w:p w:rsidR="00B01687" w:rsidRPr="007B1F0A" w:rsidRDefault="00B01687" w:rsidP="007B1F0A">
      <w:pPr>
        <w:spacing w:line="240" w:lineRule="atLeast"/>
        <w:ind w:hanging="142"/>
        <w:jc w:val="center"/>
        <w:rPr>
          <w:sz w:val="28"/>
          <w:szCs w:val="28"/>
        </w:rPr>
      </w:pPr>
    </w:p>
    <w:p w:rsidR="0025656C" w:rsidRPr="007B1F0A" w:rsidRDefault="0025656C" w:rsidP="007B1F0A">
      <w:pPr>
        <w:pStyle w:val="a3"/>
        <w:spacing w:line="240" w:lineRule="atLeast"/>
        <w:ind w:left="0" w:firstLine="0"/>
        <w:rPr>
          <w:sz w:val="28"/>
          <w:szCs w:val="28"/>
        </w:rPr>
      </w:pPr>
    </w:p>
    <w:p w:rsidR="00E934F1" w:rsidRPr="007B1F0A" w:rsidRDefault="0025656C" w:rsidP="007B1F0A">
      <w:pPr>
        <w:pStyle w:val="a3"/>
        <w:spacing w:line="240" w:lineRule="atLeast"/>
        <w:ind w:left="0" w:right="1255" w:firstLine="0"/>
        <w:rPr>
          <w:sz w:val="28"/>
          <w:szCs w:val="28"/>
        </w:rPr>
      </w:pPr>
      <w:r w:rsidRPr="007B1F0A">
        <w:rPr>
          <w:sz w:val="28"/>
          <w:szCs w:val="28"/>
        </w:rPr>
        <w:t xml:space="preserve">от </w:t>
      </w:r>
      <w:r w:rsidR="00B06304" w:rsidRPr="007B1F0A">
        <w:rPr>
          <w:sz w:val="28"/>
          <w:szCs w:val="28"/>
        </w:rPr>
        <w:t xml:space="preserve"> </w:t>
      </w:r>
      <w:r w:rsidR="00DE46ED">
        <w:rPr>
          <w:sz w:val="28"/>
          <w:szCs w:val="28"/>
        </w:rPr>
        <w:t xml:space="preserve">10 апреля </w:t>
      </w:r>
      <w:r w:rsidR="0001161F" w:rsidRPr="007B1F0A">
        <w:rPr>
          <w:sz w:val="28"/>
          <w:szCs w:val="28"/>
        </w:rPr>
        <w:t>20</w:t>
      </w:r>
      <w:r w:rsidR="00C21743" w:rsidRPr="007B1F0A">
        <w:rPr>
          <w:sz w:val="28"/>
          <w:szCs w:val="28"/>
        </w:rPr>
        <w:t>2</w:t>
      </w:r>
      <w:r w:rsidR="00A76768">
        <w:rPr>
          <w:sz w:val="28"/>
          <w:szCs w:val="28"/>
        </w:rPr>
        <w:t xml:space="preserve">6 </w:t>
      </w:r>
      <w:r w:rsidR="00B01687">
        <w:rPr>
          <w:sz w:val="28"/>
          <w:szCs w:val="28"/>
        </w:rPr>
        <w:t>г.</w:t>
      </w:r>
      <w:r w:rsidR="0001161F" w:rsidRPr="007B1F0A">
        <w:rPr>
          <w:sz w:val="28"/>
          <w:szCs w:val="28"/>
        </w:rPr>
        <w:t xml:space="preserve"> </w:t>
      </w:r>
      <w:r w:rsidRPr="007B1F0A">
        <w:rPr>
          <w:sz w:val="28"/>
          <w:szCs w:val="28"/>
        </w:rPr>
        <w:t xml:space="preserve"> № </w:t>
      </w:r>
      <w:r w:rsidR="00DE46ED">
        <w:rPr>
          <w:sz w:val="28"/>
          <w:szCs w:val="28"/>
        </w:rPr>
        <w:t>215</w:t>
      </w:r>
    </w:p>
    <w:p w:rsidR="00E34F6C" w:rsidRPr="007B1F0A" w:rsidRDefault="00E34F6C" w:rsidP="007B1F0A">
      <w:pPr>
        <w:pStyle w:val="a3"/>
        <w:spacing w:line="240" w:lineRule="atLeast"/>
        <w:ind w:left="0" w:right="-55" w:firstLine="0"/>
        <w:jc w:val="both"/>
        <w:rPr>
          <w:sz w:val="28"/>
          <w:szCs w:val="28"/>
        </w:rPr>
      </w:pPr>
    </w:p>
    <w:tbl>
      <w:tblPr>
        <w:tblW w:w="10323" w:type="dxa"/>
        <w:tblLook w:val="01E0" w:firstRow="1" w:lastRow="1" w:firstColumn="1" w:lastColumn="1" w:noHBand="0" w:noVBand="0"/>
      </w:tblPr>
      <w:tblGrid>
        <w:gridCol w:w="4786"/>
        <w:gridCol w:w="5537"/>
      </w:tblGrid>
      <w:tr w:rsidR="00737483" w:rsidRPr="007B1F0A" w:rsidTr="009B3D92">
        <w:tc>
          <w:tcPr>
            <w:tcW w:w="4786" w:type="dxa"/>
          </w:tcPr>
          <w:p w:rsidR="00737483" w:rsidRPr="007B1F0A" w:rsidRDefault="00AE35CF" w:rsidP="00B0168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B1F0A">
              <w:rPr>
                <w:sz w:val="28"/>
                <w:szCs w:val="28"/>
              </w:rPr>
              <w:t>Об утверждении Методики прогнозирования поступлений доходов в бюджет муниципального образования «</w:t>
            </w:r>
            <w:r w:rsidR="00B01687">
              <w:rPr>
                <w:sz w:val="28"/>
                <w:szCs w:val="28"/>
              </w:rPr>
              <w:t xml:space="preserve">Глинковский </w:t>
            </w:r>
            <w:r w:rsidRPr="007B1F0A">
              <w:rPr>
                <w:sz w:val="28"/>
                <w:szCs w:val="28"/>
              </w:rPr>
              <w:t xml:space="preserve">муниципальный округ» Смоленской области </w:t>
            </w:r>
          </w:p>
        </w:tc>
        <w:tc>
          <w:tcPr>
            <w:tcW w:w="5537" w:type="dxa"/>
          </w:tcPr>
          <w:p w:rsidR="00737483" w:rsidRPr="007B1F0A" w:rsidRDefault="00737483" w:rsidP="007B1F0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E07DB" w:rsidRPr="007B1F0A" w:rsidRDefault="00FE07DB" w:rsidP="007B1F0A">
      <w:pPr>
        <w:spacing w:line="240" w:lineRule="atLeast"/>
        <w:rPr>
          <w:sz w:val="28"/>
          <w:szCs w:val="28"/>
        </w:rPr>
      </w:pPr>
    </w:p>
    <w:p w:rsidR="005C79E4" w:rsidRDefault="00AE35CF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Российской Федерации»</w:t>
      </w:r>
    </w:p>
    <w:p w:rsidR="005C79E4" w:rsidRDefault="005C79E4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</w:p>
    <w:p w:rsidR="005C79E4" w:rsidRDefault="005C79E4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         Администрация муниципального образования «Глинковский муниципальный округ» Смоленской области  </w:t>
      </w:r>
      <w:proofErr w:type="gramStart"/>
      <w:r w:rsidRPr="005C79E4">
        <w:rPr>
          <w:sz w:val="28"/>
          <w:szCs w:val="28"/>
        </w:rPr>
        <w:t>п</w:t>
      </w:r>
      <w:proofErr w:type="gramEnd"/>
      <w:r w:rsidRPr="005C79E4">
        <w:rPr>
          <w:sz w:val="28"/>
          <w:szCs w:val="28"/>
        </w:rPr>
        <w:t xml:space="preserve"> о с т а н о в л я е т:</w:t>
      </w:r>
      <w:r w:rsidR="00676062" w:rsidRPr="007B1F0A">
        <w:rPr>
          <w:sz w:val="28"/>
          <w:szCs w:val="28"/>
        </w:rPr>
        <w:t xml:space="preserve"> </w:t>
      </w:r>
    </w:p>
    <w:p w:rsidR="000D5D20" w:rsidRPr="007B1F0A" w:rsidRDefault="000D5D20" w:rsidP="007B1F0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767C" w:rsidRPr="007B1F0A" w:rsidRDefault="006E767C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1. </w:t>
      </w:r>
      <w:r w:rsidR="00AE35CF" w:rsidRPr="007B1F0A">
        <w:rPr>
          <w:sz w:val="28"/>
          <w:szCs w:val="28"/>
        </w:rPr>
        <w:t>Утвердить прилагаемую Методику прогнозирования поступлений доходов в бюджет муниципального образования «</w:t>
      </w:r>
      <w:r w:rsidR="00B01687">
        <w:rPr>
          <w:sz w:val="28"/>
          <w:szCs w:val="28"/>
        </w:rPr>
        <w:t>Глинковский</w:t>
      </w:r>
      <w:r w:rsidR="00AE35CF" w:rsidRPr="007B1F0A">
        <w:rPr>
          <w:sz w:val="28"/>
          <w:szCs w:val="28"/>
        </w:rPr>
        <w:t xml:space="preserve"> муниципальный округ» Смоленской области</w:t>
      </w:r>
      <w:r w:rsidR="00DB3287" w:rsidRPr="00DB3287">
        <w:t xml:space="preserve"> </w:t>
      </w:r>
      <w:r w:rsidR="00DB3287" w:rsidRPr="00DB3287">
        <w:rPr>
          <w:sz w:val="28"/>
          <w:szCs w:val="28"/>
        </w:rPr>
        <w:t>согласно приложению</w:t>
      </w:r>
      <w:r w:rsidR="00DB3287">
        <w:rPr>
          <w:sz w:val="28"/>
          <w:szCs w:val="28"/>
        </w:rPr>
        <w:t xml:space="preserve"> №1</w:t>
      </w:r>
      <w:r w:rsidR="00DB3287" w:rsidRPr="00DB3287">
        <w:rPr>
          <w:sz w:val="28"/>
          <w:szCs w:val="28"/>
        </w:rPr>
        <w:t xml:space="preserve">  к настоящему постановлению</w:t>
      </w:r>
      <w:r w:rsidR="00DB3287">
        <w:rPr>
          <w:sz w:val="28"/>
          <w:szCs w:val="28"/>
        </w:rPr>
        <w:t>.</w:t>
      </w:r>
    </w:p>
    <w:p w:rsidR="00B01687" w:rsidRDefault="00AE35CF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2. Признать утратившим силу</w:t>
      </w:r>
      <w:r w:rsidR="00B01687">
        <w:rPr>
          <w:sz w:val="28"/>
          <w:szCs w:val="28"/>
        </w:rPr>
        <w:t>:</w:t>
      </w:r>
    </w:p>
    <w:p w:rsidR="00AE35CF" w:rsidRPr="007B1F0A" w:rsidRDefault="00B01687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35CF" w:rsidRPr="007B1F0A">
        <w:rPr>
          <w:sz w:val="28"/>
          <w:szCs w:val="28"/>
        </w:rPr>
        <w:t>постановление Администрации муниципального образования «</w:t>
      </w:r>
      <w:r>
        <w:rPr>
          <w:sz w:val="28"/>
          <w:szCs w:val="28"/>
        </w:rPr>
        <w:t>Глинковский</w:t>
      </w:r>
      <w:r w:rsidR="00AE35CF" w:rsidRPr="007B1F0A">
        <w:rPr>
          <w:sz w:val="28"/>
          <w:szCs w:val="28"/>
        </w:rPr>
        <w:t xml:space="preserve"> район» Смоленской области от </w:t>
      </w:r>
      <w:r w:rsidR="005D217D" w:rsidRPr="007B1F0A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E35CF" w:rsidRPr="007B1F0A">
        <w:rPr>
          <w:sz w:val="28"/>
          <w:szCs w:val="28"/>
        </w:rPr>
        <w:t>.</w:t>
      </w:r>
      <w:r w:rsidR="005D217D" w:rsidRPr="007B1F0A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E35CF" w:rsidRPr="007B1F0A">
        <w:rPr>
          <w:sz w:val="28"/>
          <w:szCs w:val="28"/>
        </w:rPr>
        <w:t>.201</w:t>
      </w:r>
      <w:r w:rsidR="005D217D" w:rsidRPr="007B1F0A">
        <w:rPr>
          <w:sz w:val="28"/>
          <w:szCs w:val="28"/>
        </w:rPr>
        <w:t>6</w:t>
      </w:r>
      <w:r w:rsidR="00AE35CF" w:rsidRPr="007B1F0A">
        <w:rPr>
          <w:sz w:val="28"/>
          <w:szCs w:val="28"/>
        </w:rPr>
        <w:t xml:space="preserve">г. № </w:t>
      </w:r>
      <w:r>
        <w:rPr>
          <w:sz w:val="28"/>
          <w:szCs w:val="28"/>
        </w:rPr>
        <w:t>313</w:t>
      </w:r>
      <w:r w:rsidR="00AE35CF" w:rsidRPr="007B1F0A">
        <w:rPr>
          <w:sz w:val="28"/>
          <w:szCs w:val="28"/>
        </w:rPr>
        <w:t xml:space="preserve"> «Об утверждении Методики прогнозирования поступлений доходов в бюджет муниципального образования «</w:t>
      </w:r>
      <w:r>
        <w:rPr>
          <w:sz w:val="28"/>
          <w:szCs w:val="28"/>
        </w:rPr>
        <w:t>Глинковский</w:t>
      </w:r>
      <w:r w:rsidR="00AE35CF" w:rsidRPr="007B1F0A">
        <w:rPr>
          <w:sz w:val="28"/>
          <w:szCs w:val="28"/>
        </w:rPr>
        <w:t xml:space="preserve"> район» Смоленской области».</w:t>
      </w:r>
    </w:p>
    <w:p w:rsidR="006F13A8" w:rsidRPr="006F13A8" w:rsidRDefault="00DB2AFC" w:rsidP="006F13A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2AFC">
        <w:rPr>
          <w:sz w:val="28"/>
          <w:szCs w:val="28"/>
        </w:rPr>
        <w:t>.Настоящее постановление распространяется на правоотношения, возникшие  с 1 января 2026 года.</w:t>
      </w:r>
    </w:p>
    <w:p w:rsidR="006F13A8" w:rsidRDefault="006F13A8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DB2AFC" w:rsidRDefault="00DB2AFC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DB2AFC" w:rsidRPr="006F13A8" w:rsidRDefault="00DB2AFC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6F13A8" w:rsidRPr="006F13A8" w:rsidRDefault="006F13A8" w:rsidP="006F13A8">
      <w:pPr>
        <w:spacing w:line="240" w:lineRule="atLeast"/>
        <w:jc w:val="both"/>
        <w:rPr>
          <w:sz w:val="28"/>
          <w:szCs w:val="28"/>
        </w:rPr>
      </w:pPr>
      <w:r w:rsidRPr="006F13A8">
        <w:rPr>
          <w:sz w:val="28"/>
          <w:szCs w:val="28"/>
        </w:rPr>
        <w:t>Глава муниципального образования</w:t>
      </w:r>
    </w:p>
    <w:p w:rsidR="006F13A8" w:rsidRPr="006F13A8" w:rsidRDefault="00DB2AFC" w:rsidP="006F13A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13A8" w:rsidRPr="006F13A8">
        <w:rPr>
          <w:sz w:val="28"/>
          <w:szCs w:val="28"/>
        </w:rPr>
        <w:t>Глинковский муниципальный округ»</w:t>
      </w:r>
    </w:p>
    <w:p w:rsidR="006F13A8" w:rsidRDefault="006F13A8" w:rsidP="006F13A8">
      <w:pPr>
        <w:spacing w:line="240" w:lineRule="atLeast"/>
        <w:jc w:val="both"/>
        <w:rPr>
          <w:sz w:val="28"/>
          <w:szCs w:val="28"/>
        </w:rPr>
      </w:pPr>
      <w:r w:rsidRPr="006F13A8">
        <w:rPr>
          <w:sz w:val="28"/>
          <w:szCs w:val="28"/>
        </w:rPr>
        <w:t xml:space="preserve"> Смоленской области                                                                          Е.В.Кожухов</w:t>
      </w:r>
    </w:p>
    <w:p w:rsidR="00082A93" w:rsidRDefault="00082A93" w:rsidP="006F13A8">
      <w:pPr>
        <w:spacing w:line="240" w:lineRule="atLeast"/>
        <w:jc w:val="both"/>
        <w:rPr>
          <w:sz w:val="28"/>
          <w:szCs w:val="28"/>
        </w:rPr>
      </w:pPr>
    </w:p>
    <w:p w:rsidR="00082A93" w:rsidRPr="006F13A8" w:rsidRDefault="00082A93" w:rsidP="006F13A8">
      <w:pPr>
        <w:spacing w:line="240" w:lineRule="atLeast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1"/>
      </w:tblGrid>
      <w:tr w:rsidR="006F13A8" w:rsidTr="006F13A8">
        <w:tc>
          <w:tcPr>
            <w:tcW w:w="5070" w:type="dxa"/>
          </w:tcPr>
          <w:p w:rsidR="006F13A8" w:rsidRDefault="006F13A8" w:rsidP="006F13A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071" w:type="dxa"/>
          </w:tcPr>
          <w:p w:rsidR="00DB3287" w:rsidRDefault="006F13A8" w:rsidP="006F13A8">
            <w:pPr>
              <w:spacing w:line="240" w:lineRule="atLeast"/>
              <w:rPr>
                <w:sz w:val="28"/>
                <w:szCs w:val="28"/>
              </w:rPr>
            </w:pPr>
            <w:r w:rsidRPr="006F13A8">
              <w:rPr>
                <w:sz w:val="28"/>
                <w:szCs w:val="28"/>
              </w:rPr>
              <w:t xml:space="preserve">Приложение </w:t>
            </w:r>
            <w:r w:rsidR="00DB3287">
              <w:rPr>
                <w:sz w:val="28"/>
                <w:szCs w:val="28"/>
              </w:rPr>
              <w:t>№1</w:t>
            </w:r>
          </w:p>
          <w:p w:rsidR="006F13A8" w:rsidRPr="006F13A8" w:rsidRDefault="006F13A8" w:rsidP="006F13A8">
            <w:pPr>
              <w:spacing w:line="240" w:lineRule="atLeast"/>
              <w:rPr>
                <w:sz w:val="28"/>
                <w:szCs w:val="28"/>
              </w:rPr>
            </w:pPr>
            <w:r w:rsidRPr="006F13A8">
              <w:rPr>
                <w:sz w:val="28"/>
                <w:szCs w:val="28"/>
              </w:rPr>
              <w:t xml:space="preserve">к постановлению  Администрации </w:t>
            </w:r>
          </w:p>
          <w:p w:rsidR="006F13A8" w:rsidRPr="006F13A8" w:rsidRDefault="006F13A8" w:rsidP="006F13A8">
            <w:pPr>
              <w:spacing w:line="240" w:lineRule="atLeast"/>
              <w:rPr>
                <w:sz w:val="28"/>
                <w:szCs w:val="28"/>
              </w:rPr>
            </w:pPr>
            <w:r w:rsidRPr="006F13A8">
              <w:rPr>
                <w:sz w:val="28"/>
                <w:szCs w:val="28"/>
              </w:rPr>
              <w:t>муниципального образования</w:t>
            </w:r>
          </w:p>
          <w:p w:rsidR="006F13A8" w:rsidRPr="006F13A8" w:rsidRDefault="006F13A8" w:rsidP="006F13A8">
            <w:pPr>
              <w:spacing w:line="240" w:lineRule="atLeast"/>
              <w:rPr>
                <w:sz w:val="28"/>
                <w:szCs w:val="28"/>
              </w:rPr>
            </w:pPr>
            <w:r w:rsidRPr="006F13A8">
              <w:rPr>
                <w:sz w:val="28"/>
                <w:szCs w:val="28"/>
              </w:rPr>
              <w:t>«Глинковский муниципальный  округ» Смоленской области</w:t>
            </w:r>
          </w:p>
          <w:p w:rsidR="006F13A8" w:rsidRPr="006F13A8" w:rsidRDefault="00082A93" w:rsidP="006F13A8">
            <w:pPr>
              <w:spacing w:line="240" w:lineRule="atLeast"/>
              <w:rPr>
                <w:sz w:val="28"/>
                <w:szCs w:val="28"/>
              </w:rPr>
            </w:pPr>
            <w:r w:rsidRPr="006F13A8">
              <w:rPr>
                <w:sz w:val="28"/>
                <w:szCs w:val="28"/>
              </w:rPr>
              <w:t>О</w:t>
            </w:r>
            <w:r w:rsidR="006F13A8" w:rsidRPr="006F13A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10.04.</w:t>
            </w:r>
            <w:r w:rsidR="006F13A8" w:rsidRPr="006F13A8">
              <w:rPr>
                <w:sz w:val="28"/>
                <w:szCs w:val="28"/>
              </w:rPr>
              <w:t>202</w:t>
            </w:r>
            <w:r w:rsidR="00BC7226">
              <w:rPr>
                <w:sz w:val="28"/>
                <w:szCs w:val="28"/>
              </w:rPr>
              <w:t>6</w:t>
            </w:r>
            <w:r w:rsidR="006F13A8" w:rsidRPr="006F13A8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215</w:t>
            </w:r>
            <w:bookmarkStart w:id="0" w:name="_GoBack"/>
            <w:bookmarkEnd w:id="0"/>
            <w:r w:rsidR="006F13A8" w:rsidRPr="006F13A8">
              <w:rPr>
                <w:sz w:val="28"/>
                <w:szCs w:val="28"/>
              </w:rPr>
              <w:t xml:space="preserve">                                </w:t>
            </w:r>
          </w:p>
          <w:p w:rsidR="006F13A8" w:rsidRDefault="006F13A8" w:rsidP="006F13A8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6F13A8" w:rsidRDefault="006F13A8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EE193D" w:rsidRPr="007B1F0A" w:rsidRDefault="00EE193D" w:rsidP="007B1F0A">
      <w:pPr>
        <w:spacing w:line="240" w:lineRule="atLeast"/>
        <w:ind w:right="132"/>
        <w:jc w:val="center"/>
        <w:rPr>
          <w:b/>
          <w:sz w:val="28"/>
          <w:szCs w:val="28"/>
        </w:rPr>
      </w:pPr>
      <w:r w:rsidRPr="007B1F0A">
        <w:rPr>
          <w:b/>
          <w:spacing w:val="-2"/>
          <w:sz w:val="28"/>
          <w:szCs w:val="28"/>
        </w:rPr>
        <w:t>М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Е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Т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О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Д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И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К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А</w:t>
      </w:r>
    </w:p>
    <w:p w:rsidR="00EE193D" w:rsidRPr="007B1F0A" w:rsidRDefault="00EE193D" w:rsidP="007B1F0A">
      <w:pPr>
        <w:spacing w:line="240" w:lineRule="atLeast"/>
        <w:jc w:val="center"/>
        <w:rPr>
          <w:b/>
          <w:sz w:val="28"/>
          <w:szCs w:val="28"/>
        </w:rPr>
      </w:pPr>
      <w:r w:rsidRPr="007B1F0A">
        <w:rPr>
          <w:b/>
          <w:sz w:val="28"/>
          <w:szCs w:val="28"/>
        </w:rPr>
        <w:t>прогнозирования поступлений доходов в бюджет муниципального образования «</w:t>
      </w:r>
      <w:r w:rsidR="006F13A8">
        <w:rPr>
          <w:b/>
          <w:sz w:val="28"/>
          <w:szCs w:val="28"/>
        </w:rPr>
        <w:t>Глинковский</w:t>
      </w:r>
      <w:r w:rsidRPr="007B1F0A">
        <w:rPr>
          <w:b/>
          <w:sz w:val="28"/>
          <w:szCs w:val="28"/>
        </w:rPr>
        <w:t xml:space="preserve"> муниципальный округ» Смоленской области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40"/>
        </w:tabs>
        <w:autoSpaceDE w:val="0"/>
        <w:autoSpaceDN w:val="0"/>
        <w:spacing w:before="316"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Настоящая Методика прогнозирования поступлений доходов в бюджет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 – Методика), определяет порядок прогнозирования поступлений доходов, администрируемых Администрацией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</w:t>
      </w:r>
      <w:r w:rsidRPr="007B1F0A">
        <w:rPr>
          <w:spacing w:val="-1"/>
          <w:sz w:val="28"/>
          <w:szCs w:val="28"/>
        </w:rPr>
        <w:t xml:space="preserve"> </w:t>
      </w:r>
      <w:r w:rsidRPr="007B1F0A">
        <w:rPr>
          <w:sz w:val="28"/>
          <w:szCs w:val="28"/>
        </w:rPr>
        <w:t>– главный администратор).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12"/>
        </w:tabs>
        <w:autoSpaceDE w:val="0"/>
        <w:autoSpaceDN w:val="0"/>
        <w:spacing w:before="1" w:line="240" w:lineRule="atLeast"/>
        <w:ind w:right="138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Прогнозирование доходов бюджета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 – </w:t>
      </w:r>
      <w:r w:rsidR="006F13A8">
        <w:rPr>
          <w:sz w:val="28"/>
          <w:szCs w:val="28"/>
        </w:rPr>
        <w:t xml:space="preserve">местный </w:t>
      </w:r>
      <w:r w:rsidRPr="007B1F0A">
        <w:rPr>
          <w:sz w:val="28"/>
          <w:szCs w:val="28"/>
        </w:rPr>
        <w:t>бюджет) на очередной финансовый год и плановый период осуществляется в соответствии с действующим бюджетным и налоговым законодательством Российской Федерации, законами и нормативными правовыми актами Смоленской области, нормативными правовыми актами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47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В настоящей Методике используются следующие основные понятия и </w:t>
      </w:r>
      <w:r w:rsidRPr="007B1F0A">
        <w:rPr>
          <w:spacing w:val="-2"/>
          <w:sz w:val="28"/>
          <w:szCs w:val="28"/>
        </w:rPr>
        <w:t>определения: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1077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«отчётный финансовый год» - год, предшествующий текущему финансовому году (два года, предшествующие текущему финансовому году);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«текущий финансовый год (период)» - год, в котором осуществляется исполнение бюджета, составление и рассмотрение проекта бюджета на очередной финансовый </w:t>
      </w:r>
      <w:r w:rsidR="00DB3287" w:rsidRPr="007B1F0A">
        <w:rPr>
          <w:sz w:val="28"/>
          <w:szCs w:val="28"/>
        </w:rPr>
        <w:t>год</w:t>
      </w:r>
      <w:r w:rsidRPr="007B1F0A">
        <w:rPr>
          <w:sz w:val="28"/>
          <w:szCs w:val="28"/>
        </w:rPr>
        <w:t xml:space="preserve"> и </w:t>
      </w:r>
      <w:r w:rsidR="00DB3287">
        <w:rPr>
          <w:sz w:val="28"/>
          <w:szCs w:val="28"/>
        </w:rPr>
        <w:t xml:space="preserve"> на </w:t>
      </w:r>
      <w:r w:rsidRPr="007B1F0A">
        <w:rPr>
          <w:sz w:val="28"/>
          <w:szCs w:val="28"/>
        </w:rPr>
        <w:t>плановый период;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04"/>
        </w:tabs>
        <w:autoSpaceDE w:val="0"/>
        <w:autoSpaceDN w:val="0"/>
        <w:spacing w:line="240" w:lineRule="atLeast"/>
        <w:ind w:right="138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«очередной финансовый год» - год, следующий за текущим финансовым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pacing w:val="-2"/>
          <w:sz w:val="28"/>
          <w:szCs w:val="28"/>
        </w:rPr>
        <w:t>годом;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47"/>
        </w:tabs>
        <w:autoSpaceDE w:val="0"/>
        <w:autoSpaceDN w:val="0"/>
        <w:spacing w:line="240" w:lineRule="atLeast"/>
        <w:ind w:right="137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«плановый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период»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-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два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финансовых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года,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следующие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за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очередным</w:t>
      </w:r>
      <w:r w:rsidRPr="007B1F0A">
        <w:rPr>
          <w:spacing w:val="80"/>
          <w:sz w:val="28"/>
          <w:szCs w:val="28"/>
        </w:rPr>
        <w:t xml:space="preserve"> </w:t>
      </w:r>
      <w:r w:rsidRPr="007B1F0A">
        <w:rPr>
          <w:sz w:val="28"/>
          <w:szCs w:val="28"/>
        </w:rPr>
        <w:t>финансовым годом;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870"/>
        </w:tabs>
        <w:autoSpaceDE w:val="0"/>
        <w:autoSpaceDN w:val="0"/>
        <w:spacing w:line="240" w:lineRule="atLeast"/>
        <w:ind w:right="226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«индекс роста цен» - индекс цен, используемый при пересчёте в ценах базисного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года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стоимостных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показателей,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исчисленных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в</w:t>
      </w:r>
      <w:r w:rsidRPr="007B1F0A">
        <w:rPr>
          <w:spacing w:val="-7"/>
          <w:sz w:val="28"/>
          <w:szCs w:val="28"/>
        </w:rPr>
        <w:t xml:space="preserve"> </w:t>
      </w:r>
      <w:r w:rsidRPr="007B1F0A">
        <w:rPr>
          <w:sz w:val="28"/>
          <w:szCs w:val="28"/>
        </w:rPr>
        <w:t>денежном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выражении,</w:t>
      </w:r>
      <w:r w:rsidRPr="007B1F0A">
        <w:rPr>
          <w:spacing w:val="-8"/>
          <w:sz w:val="28"/>
          <w:szCs w:val="28"/>
        </w:rPr>
        <w:t xml:space="preserve"> </w:t>
      </w:r>
      <w:r w:rsidRPr="007B1F0A">
        <w:rPr>
          <w:sz w:val="28"/>
          <w:szCs w:val="28"/>
        </w:rPr>
        <w:t>с целью приведения их к уровню цен предыдущего периода.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16"/>
        </w:tabs>
        <w:autoSpaceDE w:val="0"/>
        <w:autoSpaceDN w:val="0"/>
        <w:spacing w:line="240" w:lineRule="atLeast"/>
        <w:ind w:right="134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Расчеты прогноза администрируемых доходов производятся по каждому виду доходов в соответствии с бюджетной классификацией Российской Федерации согласно приложению, к настоящей Методике.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line="240" w:lineRule="atLeast"/>
        <w:ind w:right="143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Для расчета прогнозного объема поступлений могут применяться следующие методы: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1077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прямой расчет, основанный на непосредственном использовании прогнозных значений объемных и стоимостных показателей, уровней ставок и </w:t>
      </w:r>
      <w:r w:rsidRPr="007B1F0A">
        <w:rPr>
          <w:sz w:val="28"/>
          <w:szCs w:val="28"/>
        </w:rPr>
        <w:lastRenderedPageBreak/>
        <w:t>других показателей, определяющих прогнозный объем поступлений, прогнозируемого вида доходов;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899"/>
        </w:tabs>
        <w:autoSpaceDE w:val="0"/>
        <w:autoSpaceDN w:val="0"/>
        <w:spacing w:before="67" w:line="240" w:lineRule="atLeast"/>
        <w:ind w:right="134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усреднение – расчет,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37"/>
        </w:tabs>
        <w:autoSpaceDE w:val="0"/>
        <w:autoSpaceDN w:val="0"/>
        <w:spacing w:before="2"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индексация – расчет с применением индекса потребительских цен или другого коэффициента, характеризующего динамику прогнозируемого вида </w:t>
      </w:r>
      <w:r w:rsidRPr="007B1F0A">
        <w:rPr>
          <w:spacing w:val="-2"/>
          <w:sz w:val="28"/>
          <w:szCs w:val="28"/>
        </w:rPr>
        <w:t>доходов;</w:t>
      </w:r>
    </w:p>
    <w:p w:rsidR="00EE193D" w:rsidRPr="007B1F0A" w:rsidRDefault="00EE193D" w:rsidP="006F13A8">
      <w:pPr>
        <w:pStyle w:val="ae"/>
        <w:widowControl w:val="0"/>
        <w:numPr>
          <w:ilvl w:val="1"/>
          <w:numId w:val="3"/>
        </w:numPr>
        <w:tabs>
          <w:tab w:val="left" w:pos="1000"/>
        </w:tabs>
        <w:autoSpaceDE w:val="0"/>
        <w:autoSpaceDN w:val="0"/>
        <w:spacing w:line="240" w:lineRule="atLeast"/>
        <w:ind w:right="141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экстраполяция – расчет, осуществляемый на основании имеющихся данных о тенденциях изменения поступлений в предшествующие периоды;</w:t>
      </w:r>
    </w:p>
    <w:p w:rsidR="00EE193D" w:rsidRPr="007B1F0A" w:rsidRDefault="00EE193D" w:rsidP="006F13A8">
      <w:pPr>
        <w:pStyle w:val="ae"/>
        <w:widowControl w:val="0"/>
        <w:numPr>
          <w:ilvl w:val="1"/>
          <w:numId w:val="3"/>
        </w:numPr>
        <w:tabs>
          <w:tab w:val="left" w:pos="870"/>
        </w:tabs>
        <w:autoSpaceDE w:val="0"/>
        <w:autoSpaceDN w:val="0"/>
        <w:spacing w:line="240" w:lineRule="atLeast"/>
        <w:ind w:right="141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иной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способ,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который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должен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быть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описан</w:t>
      </w:r>
      <w:r w:rsidR="006F13A8">
        <w:rPr>
          <w:sz w:val="28"/>
          <w:szCs w:val="28"/>
        </w:rPr>
        <w:t xml:space="preserve"> </w:t>
      </w:r>
      <w:r w:rsidRPr="007B1F0A">
        <w:rPr>
          <w:sz w:val="28"/>
          <w:szCs w:val="28"/>
        </w:rPr>
        <w:t>и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обоснован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в</w:t>
      </w:r>
      <w:r w:rsidRPr="007B1F0A">
        <w:rPr>
          <w:spacing w:val="-5"/>
          <w:sz w:val="28"/>
          <w:szCs w:val="28"/>
        </w:rPr>
        <w:t xml:space="preserve"> </w:t>
      </w:r>
      <w:r w:rsidR="006F13A8">
        <w:rPr>
          <w:spacing w:val="-5"/>
          <w:sz w:val="28"/>
          <w:szCs w:val="28"/>
        </w:rPr>
        <w:t>м</w:t>
      </w:r>
      <w:r w:rsidRPr="007B1F0A">
        <w:rPr>
          <w:sz w:val="28"/>
          <w:szCs w:val="28"/>
        </w:rPr>
        <w:t xml:space="preserve">етодике </w:t>
      </w:r>
      <w:r w:rsidRPr="007B1F0A">
        <w:rPr>
          <w:spacing w:val="-2"/>
          <w:sz w:val="28"/>
          <w:szCs w:val="28"/>
        </w:rPr>
        <w:t>прогнозирования.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Для расчёта доходов за основу берутся сведения за отчётный период, последний отчётный период текущего года, оценка поступлений на текущий финансовый год.</w:t>
      </w:r>
    </w:p>
    <w:p w:rsidR="00EE193D" w:rsidRPr="007B1F0A" w:rsidRDefault="00EE193D" w:rsidP="007B1F0A">
      <w:pPr>
        <w:pStyle w:val="a6"/>
        <w:spacing w:line="240" w:lineRule="atLeast"/>
        <w:ind w:left="1" w:right="144" w:firstLine="707"/>
        <w:rPr>
          <w:rFonts w:ascii="Times New Roman" w:hAnsi="Times New Roman"/>
          <w:sz w:val="28"/>
          <w:szCs w:val="28"/>
        </w:rPr>
      </w:pPr>
      <w:r w:rsidRPr="007B1F0A">
        <w:rPr>
          <w:rFonts w:ascii="Times New Roman" w:hAnsi="Times New Roman"/>
          <w:sz w:val="28"/>
          <w:szCs w:val="28"/>
        </w:rPr>
        <w:t>В целях обеспечения сопоставимости показателей доходы двух лет, предшествующих текущему финансовому году, приводятся в соответствие с условиями текущего финансового года.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19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Одновременно с расчётами, указанными в пунктах 5-6 настоящей Методики главный администратор составляет пояснительную записку.</w:t>
      </w:r>
    </w:p>
    <w:p w:rsidR="00EE193D" w:rsidRPr="007B1F0A" w:rsidRDefault="00EE193D" w:rsidP="007B1F0A">
      <w:pPr>
        <w:pStyle w:val="a6"/>
        <w:spacing w:line="240" w:lineRule="atLeast"/>
        <w:ind w:left="1" w:right="135" w:firstLine="707"/>
        <w:rPr>
          <w:rFonts w:ascii="Times New Roman" w:hAnsi="Times New Roman"/>
          <w:sz w:val="28"/>
          <w:szCs w:val="28"/>
        </w:rPr>
      </w:pPr>
      <w:r w:rsidRPr="007B1F0A">
        <w:rPr>
          <w:rFonts w:ascii="Times New Roman" w:hAnsi="Times New Roman"/>
          <w:sz w:val="28"/>
          <w:szCs w:val="28"/>
        </w:rPr>
        <w:t>Пояснительная записка должна содержать информацию о нормативных правовых актах, являющихся основанием для начисления доходов, и детальный анализ факторов, повлиявших на величину прогнозируемых доходов в количественном и суммовом выражении.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31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При отсутствии необходимых исходных данных и (или) наличии исходных данных, не позволяющих рассчитать реалистичные прогнозные показатели, прогноз доходов рассчитывается исходя из фактических поступлений этих доходов в отчётном периоде.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272"/>
        </w:tabs>
        <w:autoSpaceDE w:val="0"/>
        <w:autoSpaceDN w:val="0"/>
        <w:spacing w:line="240" w:lineRule="atLeast"/>
        <w:ind w:right="14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Данные о фактических и прогнозных поступлениях могут корректироваться на поступления, имеющие нестабильный (разовый) характер.</w:t>
      </w:r>
    </w:p>
    <w:p w:rsidR="00EE193D" w:rsidRPr="005D217D" w:rsidRDefault="00EE193D" w:rsidP="007B1F0A">
      <w:pPr>
        <w:pStyle w:val="ae"/>
        <w:spacing w:line="240" w:lineRule="atLeast"/>
        <w:rPr>
          <w:sz w:val="27"/>
          <w:szCs w:val="27"/>
        </w:rPr>
        <w:sectPr w:rsidR="00EE193D" w:rsidRPr="005D217D" w:rsidSect="006F13A8">
          <w:pgSz w:w="11910" w:h="16840"/>
          <w:pgMar w:top="709" w:right="428" w:bottom="851" w:left="1418" w:header="720" w:footer="720" w:gutter="0"/>
          <w:cols w:space="720"/>
        </w:sectPr>
      </w:pPr>
    </w:p>
    <w:tbl>
      <w:tblPr>
        <w:tblStyle w:val="a9"/>
        <w:tblW w:w="6521" w:type="dxa"/>
        <w:tblInd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BC7226" w:rsidTr="009B3D92">
        <w:tc>
          <w:tcPr>
            <w:tcW w:w="6521" w:type="dxa"/>
          </w:tcPr>
          <w:p w:rsidR="00BC7226" w:rsidRPr="009B3D92" w:rsidRDefault="00BC7226" w:rsidP="00BC7226">
            <w:pPr>
              <w:spacing w:before="63"/>
              <w:ind w:right="-172"/>
              <w:rPr>
                <w:spacing w:val="-2"/>
                <w:sz w:val="28"/>
                <w:szCs w:val="28"/>
              </w:rPr>
            </w:pPr>
            <w:r w:rsidRPr="009B3D92">
              <w:rPr>
                <w:spacing w:val="-2"/>
                <w:sz w:val="28"/>
                <w:szCs w:val="28"/>
              </w:rPr>
              <w:lastRenderedPageBreak/>
              <w:t>Приложение</w:t>
            </w:r>
          </w:p>
          <w:p w:rsidR="00BC7226" w:rsidRDefault="00BC7226" w:rsidP="00BC7226">
            <w:pPr>
              <w:spacing w:before="63"/>
              <w:ind w:right="-172"/>
              <w:rPr>
                <w:b/>
                <w:spacing w:val="-2"/>
              </w:rPr>
            </w:pPr>
            <w:r w:rsidRPr="009B3D92">
              <w:rPr>
                <w:spacing w:val="-2"/>
                <w:sz w:val="28"/>
                <w:szCs w:val="28"/>
              </w:rPr>
              <w:t>к Методике прогнозирования поступлений доходов в бюджет муниципального образования «Глинковский муниципальный округ» Смоленской области</w:t>
            </w:r>
          </w:p>
        </w:tc>
      </w:tr>
    </w:tbl>
    <w:p w:rsidR="00EE193D" w:rsidRPr="00EE193D" w:rsidRDefault="00EE193D" w:rsidP="00EE193D">
      <w:pPr>
        <w:pStyle w:val="a6"/>
        <w:spacing w:before="34"/>
        <w:rPr>
          <w:rFonts w:ascii="Times New Roman" w:hAnsi="Times New Roman"/>
          <w:sz w:val="20"/>
        </w:rPr>
      </w:pPr>
    </w:p>
    <w:tbl>
      <w:tblPr>
        <w:tblStyle w:val="TableNormal"/>
        <w:tblW w:w="15089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655"/>
        <w:gridCol w:w="1417"/>
        <w:gridCol w:w="1937"/>
        <w:gridCol w:w="3043"/>
        <w:gridCol w:w="1453"/>
        <w:gridCol w:w="1701"/>
        <w:gridCol w:w="2410"/>
        <w:gridCol w:w="1985"/>
      </w:tblGrid>
      <w:tr w:rsidR="00EE193D" w:rsidRPr="000B59E6" w:rsidTr="009B3D92">
        <w:trPr>
          <w:trHeight w:val="1173"/>
        </w:trPr>
        <w:tc>
          <w:tcPr>
            <w:tcW w:w="488" w:type="dxa"/>
          </w:tcPr>
          <w:p w:rsidR="00EE193D" w:rsidRPr="000B59E6" w:rsidRDefault="00EE193D" w:rsidP="00EE193D">
            <w:pPr>
              <w:pStyle w:val="TableParagraph"/>
              <w:spacing w:before="92"/>
              <w:ind w:left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N</w:t>
            </w:r>
          </w:p>
          <w:p w:rsidR="00EE193D" w:rsidRPr="000B59E6" w:rsidRDefault="00EE193D" w:rsidP="00EE193D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п/п</w:t>
            </w:r>
          </w:p>
        </w:tc>
        <w:tc>
          <w:tcPr>
            <w:tcW w:w="655" w:type="dxa"/>
          </w:tcPr>
          <w:p w:rsidR="00EE193D" w:rsidRPr="000B59E6" w:rsidRDefault="00EE193D" w:rsidP="00EE193D">
            <w:pPr>
              <w:pStyle w:val="TableParagraph"/>
              <w:spacing w:before="92"/>
              <w:ind w:left="91" w:right="72" w:hanging="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Код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главного </w:t>
            </w:r>
            <w:proofErr w:type="spellStart"/>
            <w:proofErr w:type="gram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ратора</w:t>
            </w:r>
            <w:proofErr w:type="spellEnd"/>
            <w:proofErr w:type="gram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1417" w:type="dxa"/>
          </w:tcPr>
          <w:p w:rsidR="00EE193D" w:rsidRPr="000B59E6" w:rsidRDefault="00EE193D" w:rsidP="00EE193D">
            <w:pPr>
              <w:pStyle w:val="TableParagraph"/>
              <w:spacing w:before="92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главного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администратора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доходов</w:t>
            </w:r>
            <w:proofErr w:type="spellEnd"/>
          </w:p>
        </w:tc>
        <w:tc>
          <w:tcPr>
            <w:tcW w:w="1937" w:type="dxa"/>
          </w:tcPr>
          <w:p w:rsidR="00EE193D" w:rsidRPr="000B59E6" w:rsidRDefault="00EE193D" w:rsidP="00EE193D">
            <w:pPr>
              <w:pStyle w:val="TableParagraph"/>
              <w:spacing w:before="92"/>
              <w:ind w:left="222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hyperlink w:anchor="_bookmark0" w:history="1">
              <w:r w:rsidRPr="00A375D7">
                <w:rPr>
                  <w:rFonts w:ascii="Times New Roman" w:hAnsi="Times New Roman" w:cs="Times New Roman"/>
                  <w:spacing w:val="-5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3043" w:type="dxa"/>
          </w:tcPr>
          <w:p w:rsidR="00EE193D" w:rsidRPr="000B59E6" w:rsidRDefault="00EE193D" w:rsidP="00EE193D">
            <w:pPr>
              <w:pStyle w:val="TableParagraph"/>
              <w:spacing w:before="92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proofErr w:type="spellEnd"/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  <w:r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доходов</w:t>
            </w:r>
            <w:proofErr w:type="spellEnd"/>
          </w:p>
        </w:tc>
        <w:tc>
          <w:tcPr>
            <w:tcW w:w="1453" w:type="dxa"/>
          </w:tcPr>
          <w:p w:rsidR="00EE193D" w:rsidRPr="000B59E6" w:rsidRDefault="00EE193D" w:rsidP="00EE193D">
            <w:pPr>
              <w:pStyle w:val="TableParagraph"/>
              <w:spacing w:before="92"/>
              <w:ind w:left="70"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метода</w:t>
            </w:r>
            <w:proofErr w:type="spellEnd"/>
            <w:r w:rsidRPr="000B59E6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_bookmark1" w:history="1">
              <w:r w:rsidRPr="00A375D7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701" w:type="dxa"/>
          </w:tcPr>
          <w:p w:rsidR="00EE193D" w:rsidRPr="000B59E6" w:rsidRDefault="00EE193D" w:rsidP="00EE193D">
            <w:pPr>
              <w:pStyle w:val="TableParagraph"/>
              <w:spacing w:before="92"/>
              <w:ind w:left="313" w:right="292" w:firstLine="14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Формула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hyperlink w:anchor="_bookmark2" w:history="1">
              <w:r w:rsidRPr="00A375D7">
                <w:rPr>
                  <w:rFonts w:ascii="Times New Roman" w:hAnsi="Times New Roman" w:cs="Times New Roman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2410" w:type="dxa"/>
          </w:tcPr>
          <w:p w:rsidR="00EE193D" w:rsidRPr="000B59E6" w:rsidRDefault="00EE193D" w:rsidP="00EE193D">
            <w:pPr>
              <w:pStyle w:val="TableParagraph"/>
              <w:spacing w:before="92"/>
              <w:ind w:left="347" w:right="328" w:firstLine="10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Алгоритм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375D7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A375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hyperlink w:anchor="_bookmark3" w:history="1">
              <w:r w:rsidRPr="00A375D7">
                <w:rPr>
                  <w:rFonts w:ascii="Times New Roman" w:hAnsi="Times New Roman" w:cs="Times New Roman"/>
                  <w:spacing w:val="-5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</w:tcPr>
          <w:p w:rsidR="00EE193D" w:rsidRPr="000B59E6" w:rsidRDefault="00EE193D" w:rsidP="00BD5999">
            <w:pPr>
              <w:pStyle w:val="TableParagraph"/>
              <w:spacing w:before="92"/>
              <w:ind w:left="259" w:right="23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Описани</w:t>
            </w:r>
            <w:proofErr w:type="spellEnd"/>
            <w:r w:rsidR="00BD5999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е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BD5999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показателей</w:t>
            </w:r>
            <w:proofErr w:type="spellEnd"/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hyperlink w:anchor="_bookmark4" w:history="1">
              <w:r w:rsidRPr="00A375D7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</w:tr>
      <w:tr w:rsidR="00CF7D17" w:rsidRPr="000B59E6" w:rsidTr="009B3D92">
        <w:trPr>
          <w:trHeight w:val="1266"/>
        </w:trPr>
        <w:tc>
          <w:tcPr>
            <w:tcW w:w="488" w:type="dxa"/>
          </w:tcPr>
          <w:p w:rsidR="00CF7D17" w:rsidRPr="000B59E6" w:rsidRDefault="00F81A2E" w:rsidP="00F81A2E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1</w:t>
            </w:r>
          </w:p>
        </w:tc>
        <w:tc>
          <w:tcPr>
            <w:tcW w:w="655" w:type="dxa"/>
          </w:tcPr>
          <w:p w:rsidR="00CF7D17" w:rsidRPr="000B59E6" w:rsidRDefault="00E53A7C" w:rsidP="00D732F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CF7D17" w:rsidRPr="000B59E6" w:rsidRDefault="00CF7D17" w:rsidP="00F81A2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CF7D17" w:rsidRPr="000B59E6" w:rsidRDefault="00CF7D17" w:rsidP="00EF02C3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1 11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05012</w:t>
            </w:r>
            <w:r w:rsidR="00EF02C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120</w:t>
            </w:r>
          </w:p>
        </w:tc>
        <w:tc>
          <w:tcPr>
            <w:tcW w:w="3043" w:type="dxa"/>
          </w:tcPr>
          <w:p w:rsidR="00CF7D17" w:rsidRPr="000B59E6" w:rsidRDefault="00CF7D17" w:rsidP="00D732F3">
            <w:pPr>
              <w:pStyle w:val="TableParagraph"/>
              <w:tabs>
                <w:tab w:val="left" w:pos="1088"/>
                <w:tab w:val="left" w:pos="1594"/>
                <w:tab w:val="left" w:pos="1688"/>
                <w:tab w:val="left" w:pos="1774"/>
                <w:tab w:val="left" w:pos="2043"/>
                <w:tab w:val="left" w:pos="2120"/>
                <w:tab w:val="left" w:pos="2238"/>
                <w:tab w:val="left" w:pos="2782"/>
              </w:tabs>
              <w:spacing w:before="95"/>
              <w:ind w:left="64" w:right="4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Доходы, получаемые в виде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арендной </w:t>
            </w:r>
            <w:r w:rsidRPr="000B59E6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платы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за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земельные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участки, государственная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собственность</w:t>
            </w:r>
            <w:r w:rsidRPr="000B59E6">
              <w:rPr>
                <w:rFonts w:ascii="Times New Roman" w:hAnsi="Times New Roman" w:cs="Times New Roman"/>
                <w:spacing w:val="8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0B59E6">
              <w:rPr>
                <w:rFonts w:ascii="Times New Roman" w:hAnsi="Times New Roman" w:cs="Times New Roman"/>
                <w:spacing w:val="8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которые не</w:t>
            </w:r>
            <w:r w:rsidRPr="000B59E6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разграничена</w:t>
            </w:r>
            <w:r w:rsidRPr="000B59E6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0B59E6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которые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расположены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в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границах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муниципальных</w:t>
            </w:r>
            <w:r w:rsidRPr="000B59E6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округов,</w:t>
            </w:r>
            <w:r w:rsidRPr="000B59E6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 также</w:t>
            </w:r>
            <w:r w:rsidRPr="000B59E6">
              <w:rPr>
                <w:rFonts w:ascii="Times New Roman" w:hAnsi="Times New Roman" w:cs="Times New Roman"/>
                <w:spacing w:val="3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средства</w:t>
            </w:r>
            <w:r w:rsidRPr="000B59E6">
              <w:rPr>
                <w:rFonts w:ascii="Times New Roman" w:hAnsi="Times New Roman" w:cs="Times New Roman"/>
                <w:spacing w:val="3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</w:t>
            </w:r>
            <w:r w:rsidRPr="000B59E6">
              <w:rPr>
                <w:rFonts w:ascii="Times New Roman" w:hAnsi="Times New Roman" w:cs="Times New Roman"/>
                <w:spacing w:val="3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продажи </w:t>
            </w:r>
            <w:r w:rsidRPr="000B59E6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права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на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заключение договоров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аренды</w:t>
            </w:r>
          </w:p>
          <w:p w:rsidR="00CF7D17" w:rsidRPr="000B59E6" w:rsidRDefault="00CF7D17" w:rsidP="00D732F3">
            <w:pPr>
              <w:pStyle w:val="TableParagraph"/>
              <w:tabs>
                <w:tab w:val="left" w:pos="1884"/>
              </w:tabs>
              <w:spacing w:before="1"/>
              <w:ind w:left="64" w:right="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Указанных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земельных участков</w:t>
            </w:r>
          </w:p>
        </w:tc>
        <w:tc>
          <w:tcPr>
            <w:tcW w:w="1453" w:type="dxa"/>
            <w:vMerge w:val="restart"/>
          </w:tcPr>
          <w:p w:rsidR="001A2CD7" w:rsidRDefault="00CF7D17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Метод </w:t>
            </w:r>
          </w:p>
          <w:p w:rsidR="00CF7D17" w:rsidRPr="000B59E6" w:rsidRDefault="00CF7D17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прямого расчета</w:t>
            </w:r>
          </w:p>
          <w:p w:rsidR="00CF7D17" w:rsidRPr="000B59E6" w:rsidRDefault="00CF7D17" w:rsidP="00A80EC2">
            <w:pPr>
              <w:pStyle w:val="TableParagraph"/>
              <w:spacing w:before="97"/>
              <w:ind w:left="513" w:right="425" w:hanging="6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CF7D17" w:rsidRPr="000B59E6" w:rsidRDefault="00CF7D17" w:rsidP="001A2C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</w:t>
            </w:r>
            <w:proofErr w:type="gram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= А</w:t>
            </w:r>
            <w:proofErr w:type="gramEnd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 -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Аум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+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Аув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+ Аз</w:t>
            </w:r>
          </w:p>
          <w:p w:rsidR="00CF7D17" w:rsidRPr="000B59E6" w:rsidRDefault="00CF7D17" w:rsidP="00D732F3">
            <w:pPr>
              <w:pStyle w:val="TableParagraph"/>
              <w:ind w:left="6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CF7D17" w:rsidRPr="000B59E6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Ан – 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определяется исходя из </w:t>
            </w:r>
            <w:r w:rsid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кадастровой стоимости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сдаваемых земельных участков, став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ки арендной платы </w:t>
            </w:r>
            <w:r w:rsidR="007406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срока аренды; 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Аум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Аув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– определяется исходя из </w:t>
            </w:r>
            <w:r w:rsid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кадастровой стоимости</w:t>
            </w:r>
            <w:r w:rsidR="00F927C2"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земельных</w:t>
            </w:r>
            <w:r w:rsid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участков,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ставки арендной платы и срока аренды; 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Аз - не менее 15% от общего объема дебиторской задолженности (за исключением суммы задолженности не возможной к взысканию)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Прогноз на плановый период равен сумме прогноза на очередной год</w:t>
            </w:r>
          </w:p>
          <w:p w:rsidR="00CF7D17" w:rsidRPr="000B59E6" w:rsidRDefault="00CF7D17" w:rsidP="00A375D7">
            <w:pPr>
              <w:pStyle w:val="TableParagraph"/>
              <w:spacing w:before="1"/>
              <w:ind w:left="142" w:right="6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 - прогнозный объем поступлений арендной платы в очередном финансо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softHyphen/>
              <w:t>вом году;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 - объем начисленной арендной платы в текущем финансовом году в соответствии с заключенными договорами аренды;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Аум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прогнозный объем уменьшения поступлений арендной платы в очередном финансовом году в связи с продажей земельных участков, расторжением договоров аренды, переоформления прав аренды на иное право и др.;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Аув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прогнозный объем увеличения арендной платы в очередном фи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softHyphen/>
              <w:t>нансовом году, в т. ч. за счет заключения новых договоров аренды в текущем финансовом году;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Аз - прогнозируемая сумма поступлений задолженности по 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оплате арендных платежей прошлых периодов в очередном фи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softHyphen/>
              <w:t xml:space="preserve">нансовом году. 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Источник данных: договоры, заключенные (планируемые к заключению) с арендаторами.</w:t>
            </w:r>
          </w:p>
          <w:p w:rsidR="00CF7D17" w:rsidRPr="000B59E6" w:rsidRDefault="00CF7D17" w:rsidP="00A375D7">
            <w:pPr>
              <w:pStyle w:val="TableParagraph"/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7D17" w:rsidRPr="000B59E6" w:rsidTr="009B3D92">
        <w:trPr>
          <w:trHeight w:val="1583"/>
        </w:trPr>
        <w:tc>
          <w:tcPr>
            <w:tcW w:w="488" w:type="dxa"/>
          </w:tcPr>
          <w:p w:rsidR="00CF7D17" w:rsidRPr="000B59E6" w:rsidRDefault="00F81A2E" w:rsidP="00F81A2E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2</w:t>
            </w:r>
          </w:p>
        </w:tc>
        <w:tc>
          <w:tcPr>
            <w:tcW w:w="655" w:type="dxa"/>
          </w:tcPr>
          <w:p w:rsidR="00CF7D17" w:rsidRPr="000B59E6" w:rsidRDefault="00E53A7C" w:rsidP="00D732F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CF7D17" w:rsidRPr="000B59E6" w:rsidRDefault="00CF7D17" w:rsidP="00F81A2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CF7D17" w:rsidRPr="000B59E6" w:rsidRDefault="00CF7D17" w:rsidP="00EF02C3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1 11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05024</w:t>
            </w:r>
            <w:r w:rsidR="00EF02C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120</w:t>
            </w:r>
          </w:p>
        </w:tc>
        <w:tc>
          <w:tcPr>
            <w:tcW w:w="3043" w:type="dxa"/>
          </w:tcPr>
          <w:p w:rsidR="00CF7D17" w:rsidRPr="000B59E6" w:rsidRDefault="00CF7D17" w:rsidP="00D732F3">
            <w:pPr>
              <w:pStyle w:val="TableParagraph"/>
              <w:tabs>
                <w:tab w:val="left" w:pos="1463"/>
                <w:tab w:val="left" w:pos="2319"/>
                <w:tab w:val="left" w:pos="2869"/>
              </w:tabs>
              <w:spacing w:before="95"/>
              <w:ind w:left="64" w:right="4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Доходы, получаемые в виде арендной платы, а также средства от продажи права на заключение договоров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аренды </w:t>
            </w:r>
            <w:r w:rsidRPr="000B59E6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за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земли, находящиеся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0B59E6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в</w:t>
            </w:r>
            <w:proofErr w:type="gramEnd"/>
          </w:p>
          <w:p w:rsidR="00CF7D17" w:rsidRPr="000B59E6" w:rsidRDefault="00CF7D17" w:rsidP="00D732F3">
            <w:pPr>
              <w:pStyle w:val="TableParagraph"/>
              <w:tabs>
                <w:tab w:val="left" w:pos="1320"/>
                <w:tab w:val="left" w:pos="1884"/>
              </w:tabs>
              <w:ind w:left="64" w:right="4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собственности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муниципальных округов (за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исключением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земельных участков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муниципальных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бюджетных</w:t>
            </w:r>
            <w:r w:rsidRPr="000B59E6">
              <w:rPr>
                <w:rFonts w:ascii="Times New Roman" w:hAnsi="Times New Roman" w:cs="Times New Roman"/>
                <w:spacing w:val="8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0B59E6">
              <w:rPr>
                <w:rFonts w:ascii="Times New Roman" w:hAnsi="Times New Roman" w:cs="Times New Roman"/>
                <w:spacing w:val="8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автономных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учреждений)</w:t>
            </w:r>
          </w:p>
        </w:tc>
        <w:tc>
          <w:tcPr>
            <w:tcW w:w="1453" w:type="dxa"/>
            <w:vMerge/>
          </w:tcPr>
          <w:p w:rsidR="00CF7D17" w:rsidRPr="000B59E6" w:rsidRDefault="00CF7D17" w:rsidP="00A80EC2">
            <w:pPr>
              <w:pStyle w:val="TableParagraph"/>
              <w:spacing w:before="97"/>
              <w:ind w:left="513" w:right="425" w:hanging="6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CF7D17" w:rsidRPr="000B59E6" w:rsidRDefault="00CF7D17" w:rsidP="00D732F3">
            <w:pPr>
              <w:pStyle w:val="TableParagraph"/>
              <w:ind w:left="6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CF7D17" w:rsidRPr="000B59E6" w:rsidRDefault="00CF7D17" w:rsidP="00D732F3">
            <w:pPr>
              <w:pStyle w:val="TableParagraph"/>
              <w:spacing w:before="1"/>
              <w:ind w:left="66" w:right="6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CF7D17" w:rsidRPr="000B59E6" w:rsidRDefault="00CF7D17" w:rsidP="00D732F3">
            <w:pPr>
              <w:pStyle w:val="TableParagraph"/>
              <w:ind w:left="6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7D17" w:rsidRPr="000B59E6" w:rsidTr="009B3D92">
        <w:trPr>
          <w:trHeight w:val="1583"/>
        </w:trPr>
        <w:tc>
          <w:tcPr>
            <w:tcW w:w="488" w:type="dxa"/>
          </w:tcPr>
          <w:p w:rsidR="00CF7D17" w:rsidRPr="000B59E6" w:rsidRDefault="00087EE5" w:rsidP="003A5D1B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655" w:type="dxa"/>
          </w:tcPr>
          <w:p w:rsidR="00CF7D17" w:rsidRPr="000B59E6" w:rsidRDefault="00E53A7C" w:rsidP="003A5D1B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CF7D17" w:rsidRPr="000B59E6" w:rsidRDefault="00CF7D17" w:rsidP="00F81A2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CF7D17" w:rsidRPr="000B59E6" w:rsidRDefault="00CF7D17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1 11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05034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120</w:t>
            </w:r>
          </w:p>
        </w:tc>
        <w:tc>
          <w:tcPr>
            <w:tcW w:w="3043" w:type="dxa"/>
          </w:tcPr>
          <w:p w:rsidR="00CF7D17" w:rsidRPr="000B59E6" w:rsidRDefault="00CF7D17" w:rsidP="003A5D1B">
            <w:pPr>
              <w:pStyle w:val="TableParagraph"/>
              <w:spacing w:before="95"/>
              <w:ind w:left="64" w:right="6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исключением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имущества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муниципальных</w:t>
            </w:r>
            <w:r w:rsidRPr="000B59E6">
              <w:rPr>
                <w:rFonts w:ascii="Times New Roman" w:hAnsi="Times New Roman" w:cs="Times New Roman"/>
                <w:spacing w:val="8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бюджетных и автономных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учреждений)</w:t>
            </w:r>
          </w:p>
        </w:tc>
        <w:tc>
          <w:tcPr>
            <w:tcW w:w="1453" w:type="dxa"/>
            <w:vMerge w:val="restart"/>
          </w:tcPr>
          <w:p w:rsidR="001A2CD7" w:rsidRDefault="00CF7D17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Метод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7D17" w:rsidRPr="000B59E6" w:rsidRDefault="00CF7D17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прямого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</w:p>
          <w:p w:rsidR="00CF7D17" w:rsidRPr="000B59E6" w:rsidRDefault="00CF7D17" w:rsidP="00A80EC2">
            <w:pPr>
              <w:pStyle w:val="TableParagraph"/>
              <w:spacing w:before="95"/>
              <w:ind w:left="487" w:right="391" w:hanging="7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F7D17" w:rsidRPr="000B59E6" w:rsidRDefault="00CF7D17" w:rsidP="001A2CD7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</w:t>
            </w:r>
            <w:proofErr w:type="gram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= А</w:t>
            </w:r>
            <w:proofErr w:type="gramEnd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 -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Аум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+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Аув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+ Аз</w:t>
            </w:r>
          </w:p>
          <w:p w:rsidR="00CF7D17" w:rsidRPr="000B59E6" w:rsidRDefault="00CF7D17" w:rsidP="003A5D1B">
            <w:pPr>
              <w:pStyle w:val="TableParagraph"/>
              <w:spacing w:before="95"/>
              <w:ind w:left="176" w:right="159" w:firstLine="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Ан – 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определяется исходя из площади сдаваемых объектов, </w:t>
            </w:r>
            <w:r w:rsid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рыночной стоимости сдаваемых объектов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срока аренды; 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Аум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Аув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– определяется исходя из площади,</w:t>
            </w:r>
            <w:r w:rsid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рыночной стоимости сдаваемых объектов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срока аренды; 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Аз - не менее 15% от общего объема дебиторской задолженности (за исключением суммы задолженности не возможной к взысканию)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Прогноз на плановый период равен сумме прогноза на очередной год</w:t>
            </w:r>
          </w:p>
          <w:p w:rsidR="00CF7D17" w:rsidRPr="000B59E6" w:rsidRDefault="00CF7D17" w:rsidP="00A375D7">
            <w:pPr>
              <w:pStyle w:val="TableParagraph"/>
              <w:spacing w:before="2"/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CF7D17" w:rsidRPr="000B59E6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 - прогнозный объем поступлений арендной платы в очередном финансо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softHyphen/>
              <w:t>вом году;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 - объем начисленной арендной платы в текущем финансовом году в соответствии с заключенными договорами аренды;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Аум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прогнозный объем уменьшения поступлений арендной платы в очередном финансовом году в связи с продажей имущества, расторжением договоров аренды, переоформления прав аренды на иное право и др.;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Аув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прогнозный объем увеличения арендной платы в очередном фи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softHyphen/>
              <w:t>нансовом году, в т. ч. за счет заключения новых договоров аренды в текущем финансовом году;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Аз - прогнозируемая сумма поступлений задолженности прошлых лет в очередном фи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softHyphen/>
              <w:t>нансовом году.</w:t>
            </w:r>
          </w:p>
          <w:p w:rsidR="00CF7D17" w:rsidRPr="00F927C2" w:rsidRDefault="00CF7D17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Источник данных: договоры, 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заключенные (планируемые к заключению) с арендаторами.</w:t>
            </w:r>
          </w:p>
          <w:p w:rsidR="00CF7D17" w:rsidRPr="000B59E6" w:rsidRDefault="00CF7D17" w:rsidP="00A375D7">
            <w:pPr>
              <w:pStyle w:val="TableParagraph"/>
              <w:ind w:left="142" w:right="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</w:p>
        </w:tc>
      </w:tr>
      <w:tr w:rsidR="00CF7D17" w:rsidRPr="000B59E6" w:rsidTr="009B3D92">
        <w:trPr>
          <w:trHeight w:val="1583"/>
        </w:trPr>
        <w:tc>
          <w:tcPr>
            <w:tcW w:w="488" w:type="dxa"/>
          </w:tcPr>
          <w:p w:rsidR="00CF7D17" w:rsidRPr="000B59E6" w:rsidRDefault="00087EE5" w:rsidP="003A5D1B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4</w:t>
            </w:r>
          </w:p>
        </w:tc>
        <w:tc>
          <w:tcPr>
            <w:tcW w:w="655" w:type="dxa"/>
          </w:tcPr>
          <w:p w:rsidR="00CF7D17" w:rsidRPr="000B59E6" w:rsidRDefault="00E53A7C" w:rsidP="003A5D1B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CF7D17" w:rsidRPr="000B59E6" w:rsidRDefault="00CF7D17" w:rsidP="00F81A2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CF7D17" w:rsidRPr="000B59E6" w:rsidRDefault="00CF7D17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1 11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05074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120</w:t>
            </w:r>
          </w:p>
        </w:tc>
        <w:tc>
          <w:tcPr>
            <w:tcW w:w="3043" w:type="dxa"/>
          </w:tcPr>
          <w:p w:rsidR="00CF7D17" w:rsidRPr="000B59E6" w:rsidRDefault="00CF7D17" w:rsidP="003A5D1B">
            <w:pPr>
              <w:pStyle w:val="TableParagraph"/>
              <w:spacing w:before="95"/>
              <w:ind w:left="64" w:right="14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Доходы от сдачи в аренду имущества,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составляющего казну муниципальных округов (за исключением земельных участков)</w:t>
            </w:r>
          </w:p>
        </w:tc>
        <w:tc>
          <w:tcPr>
            <w:tcW w:w="1453" w:type="dxa"/>
            <w:vMerge/>
          </w:tcPr>
          <w:p w:rsidR="00CF7D17" w:rsidRPr="00F927C2" w:rsidRDefault="00CF7D17" w:rsidP="00A80EC2">
            <w:pPr>
              <w:pStyle w:val="TableParagraph"/>
              <w:spacing w:before="95"/>
              <w:ind w:left="487" w:right="391" w:hanging="7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CF7D17" w:rsidRPr="00F927C2" w:rsidRDefault="00CF7D17" w:rsidP="003A5D1B">
            <w:pPr>
              <w:pStyle w:val="TableParagraph"/>
              <w:spacing w:before="95"/>
              <w:ind w:left="176" w:right="159" w:firstLine="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CF7D17" w:rsidRPr="000B59E6" w:rsidRDefault="00CF7D17" w:rsidP="00F92E2A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CF7D17" w:rsidRPr="000B59E6" w:rsidRDefault="00CF7D17" w:rsidP="003A5D1B">
            <w:pPr>
              <w:pStyle w:val="TableParagraph"/>
              <w:ind w:left="67" w:right="6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F6041" w:rsidRPr="000B59E6" w:rsidTr="009B3D92">
        <w:trPr>
          <w:trHeight w:val="1583"/>
        </w:trPr>
        <w:tc>
          <w:tcPr>
            <w:tcW w:w="488" w:type="dxa"/>
          </w:tcPr>
          <w:p w:rsidR="00EF6041" w:rsidRPr="000B59E6" w:rsidRDefault="00087EE5" w:rsidP="003A5D1B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655" w:type="dxa"/>
          </w:tcPr>
          <w:p w:rsidR="00EF6041" w:rsidRPr="000B59E6" w:rsidRDefault="00E53A7C" w:rsidP="003A5D1B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EF6041" w:rsidRPr="000B59E6" w:rsidRDefault="00EF6041" w:rsidP="00F81A2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EF6041" w:rsidRPr="000B59E6" w:rsidRDefault="00EF6041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1 11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09044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120</w:t>
            </w:r>
          </w:p>
        </w:tc>
        <w:tc>
          <w:tcPr>
            <w:tcW w:w="3043" w:type="dxa"/>
          </w:tcPr>
          <w:p w:rsidR="00EF6041" w:rsidRPr="000B59E6" w:rsidRDefault="00EF6041" w:rsidP="003A5D1B">
            <w:pPr>
              <w:pStyle w:val="TableParagraph"/>
              <w:spacing w:before="95"/>
              <w:ind w:left="64" w:right="10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Прочие поступления от использования имущества, находящегося в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собственности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муниципальных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округов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(за исключением имущества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муниципальных</w:t>
            </w:r>
            <w:r w:rsidRPr="000B59E6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бюджетных и автономных учреждений, а также имущества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муниципальных унитарных предприятий, в том числе казенных)</w:t>
            </w:r>
          </w:p>
        </w:tc>
        <w:tc>
          <w:tcPr>
            <w:tcW w:w="1453" w:type="dxa"/>
          </w:tcPr>
          <w:p w:rsidR="001A2CD7" w:rsidRDefault="00EF6041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Метод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6041" w:rsidRPr="000B59E6" w:rsidRDefault="00EF6041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прямого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</w:p>
        </w:tc>
        <w:tc>
          <w:tcPr>
            <w:tcW w:w="1701" w:type="dxa"/>
          </w:tcPr>
          <w:p w:rsidR="00EF6041" w:rsidRPr="000B59E6" w:rsidRDefault="00EF6041" w:rsidP="001A2CD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Ди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Псоц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. +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Пком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F6041" w:rsidRPr="00F927C2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Прогноз на плановый период равен сумме прогноза на очередной год</w:t>
            </w:r>
          </w:p>
        </w:tc>
        <w:tc>
          <w:tcPr>
            <w:tcW w:w="1985" w:type="dxa"/>
          </w:tcPr>
          <w:p w:rsidR="00EF6041" w:rsidRPr="00F927C2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прогнозный объем поступления доходов от прочих поступлений от использования имущества, находящегося в собственности муниципальных округов;</w:t>
            </w:r>
          </w:p>
          <w:p w:rsidR="00EF6041" w:rsidRPr="00F927C2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Псоц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– доходы от платы за социальный </w:t>
            </w: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найм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жилых помещений, спрогнозированные исходя из общей площади помещений, сдаваемых в наем согласно заключенных и планируемых к заключению договоров и базовой ставки за социальный </w:t>
            </w: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найм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жилого помещения;</w:t>
            </w:r>
            <w:proofErr w:type="gramEnd"/>
          </w:p>
          <w:p w:rsidR="00EF6041" w:rsidRPr="00F927C2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Пком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– доходы от платы за коммерческий </w:t>
            </w: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найм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жилых помещений, спрогнозированные исходя из общей площади помещений, сдаваемых в наем согласно заключенных и планируемых к заключению договоров и базовой ставки за коммерческий </w:t>
            </w: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найм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жилого помещения.</w:t>
            </w:r>
            <w:proofErr w:type="gramEnd"/>
          </w:p>
          <w:p w:rsidR="00EF6041" w:rsidRPr="00F927C2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Источник данных: договоры, заключенные (планируемые к заключению)</w:t>
            </w:r>
          </w:p>
        </w:tc>
      </w:tr>
      <w:tr w:rsidR="00EF6041" w:rsidRPr="000B59E6" w:rsidTr="009B3D92">
        <w:trPr>
          <w:trHeight w:val="1583"/>
        </w:trPr>
        <w:tc>
          <w:tcPr>
            <w:tcW w:w="488" w:type="dxa"/>
          </w:tcPr>
          <w:p w:rsidR="00EF6041" w:rsidRPr="000B59E6" w:rsidRDefault="00087EE5" w:rsidP="003A5D1B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lastRenderedPageBreak/>
              <w:t>6</w:t>
            </w:r>
          </w:p>
        </w:tc>
        <w:tc>
          <w:tcPr>
            <w:tcW w:w="655" w:type="dxa"/>
          </w:tcPr>
          <w:p w:rsidR="00EF6041" w:rsidRPr="000B59E6" w:rsidRDefault="00E53A7C" w:rsidP="003A5D1B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EF6041" w:rsidRPr="000B59E6" w:rsidRDefault="00EF6041" w:rsidP="00F81A2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EF6041" w:rsidRPr="000B59E6" w:rsidRDefault="00EF6041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1 13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02064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130</w:t>
            </w:r>
          </w:p>
        </w:tc>
        <w:tc>
          <w:tcPr>
            <w:tcW w:w="3043" w:type="dxa"/>
          </w:tcPr>
          <w:p w:rsidR="00EF6041" w:rsidRPr="000B59E6" w:rsidRDefault="00EF6041" w:rsidP="003A5D1B">
            <w:pPr>
              <w:pStyle w:val="TableParagraph"/>
              <w:spacing w:before="95"/>
              <w:ind w:left="64" w:right="12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Доходы, поступающие в порядке возмещения расходов, понесенных в связи с эксплуатацией имущества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муниципальных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округов</w:t>
            </w:r>
          </w:p>
        </w:tc>
        <w:tc>
          <w:tcPr>
            <w:tcW w:w="1453" w:type="dxa"/>
          </w:tcPr>
          <w:p w:rsidR="001A2CD7" w:rsidRDefault="00EF6041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Метод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6041" w:rsidRPr="000B59E6" w:rsidRDefault="00EF6041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прямого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</w:p>
        </w:tc>
        <w:tc>
          <w:tcPr>
            <w:tcW w:w="1701" w:type="dxa"/>
          </w:tcPr>
          <w:p w:rsidR="00EF6041" w:rsidRPr="000B59E6" w:rsidRDefault="00EF6041" w:rsidP="001A2CD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Пдвр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= ∑Д</w:t>
            </w:r>
          </w:p>
          <w:p w:rsidR="00EF6041" w:rsidRPr="000B59E6" w:rsidRDefault="00EF6041" w:rsidP="00EF604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F6041" w:rsidRPr="00F927C2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Прогноз на плановый период равен сумме прогноза на очередной год</w:t>
            </w:r>
          </w:p>
        </w:tc>
        <w:tc>
          <w:tcPr>
            <w:tcW w:w="1985" w:type="dxa"/>
          </w:tcPr>
          <w:p w:rsidR="00EF6041" w:rsidRPr="00F927C2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Пдвр</w:t>
            </w:r>
            <w:proofErr w:type="spell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прогнозный объем поступления доходов, поступающих в порядке возмещения расходов, понесенных в связи с эксплуатацией имущества муниципальных округов;</w:t>
            </w:r>
          </w:p>
          <w:p w:rsidR="00EF6041" w:rsidRPr="00F927C2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∑Д – сумма возмещения коммунальных услуг в соответствии с заключенными договорами Источник данных: договоры, заключенные (планируемые к заключению)</w:t>
            </w:r>
          </w:p>
        </w:tc>
      </w:tr>
      <w:tr w:rsidR="00EF6041" w:rsidRPr="000B59E6" w:rsidTr="009B3D92">
        <w:trPr>
          <w:trHeight w:val="2241"/>
        </w:trPr>
        <w:tc>
          <w:tcPr>
            <w:tcW w:w="488" w:type="dxa"/>
          </w:tcPr>
          <w:p w:rsidR="00EF6041" w:rsidRPr="000B59E6" w:rsidRDefault="00087EE5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7</w:t>
            </w:r>
          </w:p>
        </w:tc>
        <w:tc>
          <w:tcPr>
            <w:tcW w:w="655" w:type="dxa"/>
          </w:tcPr>
          <w:p w:rsidR="00EF6041" w:rsidRPr="000B59E6" w:rsidRDefault="00E53A7C" w:rsidP="00EE193D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EF6041" w:rsidRPr="000B59E6" w:rsidRDefault="00EF6041" w:rsidP="00F81A2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EF6041" w:rsidRPr="000B59E6" w:rsidRDefault="00EF6041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1 14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06012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430</w:t>
            </w:r>
          </w:p>
        </w:tc>
        <w:tc>
          <w:tcPr>
            <w:tcW w:w="3043" w:type="dxa"/>
          </w:tcPr>
          <w:p w:rsidR="00EF6041" w:rsidRPr="000B59E6" w:rsidRDefault="00EF6041" w:rsidP="00EE193D">
            <w:pPr>
              <w:pStyle w:val="TableParagraph"/>
              <w:spacing w:before="95"/>
              <w:ind w:left="64" w:right="14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Доходы от продажи земельных участков,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государственная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собственность на которые не</w:t>
            </w:r>
            <w:r w:rsidRPr="000B59E6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разграничена</w:t>
            </w:r>
            <w:r w:rsidRPr="000B59E6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0B59E6">
              <w:rPr>
                <w:rFonts w:ascii="Times New Roman" w:hAnsi="Times New Roman"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которые расположены в границах муниципальных округов</w:t>
            </w:r>
          </w:p>
        </w:tc>
        <w:tc>
          <w:tcPr>
            <w:tcW w:w="1453" w:type="dxa"/>
            <w:vMerge w:val="restart"/>
          </w:tcPr>
          <w:p w:rsidR="001A2CD7" w:rsidRDefault="00EF6041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Метод</w:t>
            </w:r>
            <w:proofErr w:type="spellEnd"/>
          </w:p>
          <w:p w:rsidR="00EF6041" w:rsidRPr="000B59E6" w:rsidRDefault="00EF6041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прямого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</w:p>
          <w:p w:rsidR="00EF6041" w:rsidRPr="000B59E6" w:rsidRDefault="00EF6041" w:rsidP="00A80EC2">
            <w:pPr>
              <w:pStyle w:val="TableParagraph"/>
              <w:spacing w:before="95"/>
              <w:ind w:left="487" w:right="391" w:hanging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F6041" w:rsidRPr="000B59E6" w:rsidRDefault="00EF6041" w:rsidP="001A2CD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Пзу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= ∑Ц</w:t>
            </w:r>
          </w:p>
          <w:p w:rsidR="00EF6041" w:rsidRPr="000B59E6" w:rsidRDefault="00EF6041" w:rsidP="003A5D1B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EF6041" w:rsidRPr="000B59E6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∑ </w:t>
            </w:r>
            <w:proofErr w:type="gram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</w:t>
            </w:r>
            <w:proofErr w:type="gramEnd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совокупная кадастровая стоимость земельных участков, запланированных к продаже</w:t>
            </w:r>
          </w:p>
          <w:p w:rsidR="00EF6041" w:rsidRPr="000B59E6" w:rsidRDefault="00EF6041" w:rsidP="00A375D7">
            <w:pPr>
              <w:pStyle w:val="TableParagraph"/>
              <w:spacing w:before="95"/>
              <w:ind w:left="142" w:right="6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EF6041" w:rsidRPr="000B59E6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Пзу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прогнозный объем поступления доходов от продажи земельных участков, находящихся в собственности муниципальных округов в очередном финансовом году;</w:t>
            </w:r>
          </w:p>
          <w:p w:rsidR="00EF6041" w:rsidRPr="00F927C2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∑</w:t>
            </w:r>
            <w:proofErr w:type="gram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</w:t>
            </w:r>
            <w:proofErr w:type="gram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сумма выкупной стоимости земельных участков.</w:t>
            </w:r>
          </w:p>
          <w:p w:rsidR="00EF6041" w:rsidRPr="000B59E6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данных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F6041" w:rsidRPr="000B59E6" w:rsidRDefault="00EF6041" w:rsidP="00A375D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Выписка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ЕГРН </w:t>
            </w:r>
          </w:p>
          <w:p w:rsidR="00EF6041" w:rsidRPr="000B59E6" w:rsidRDefault="00EF6041" w:rsidP="00A375D7">
            <w:pPr>
              <w:pStyle w:val="TableParagraph"/>
              <w:spacing w:before="95"/>
              <w:ind w:left="142" w:right="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F6041" w:rsidRPr="000B59E6" w:rsidTr="009B3D92">
        <w:trPr>
          <w:trHeight w:val="2250"/>
        </w:trPr>
        <w:tc>
          <w:tcPr>
            <w:tcW w:w="488" w:type="dxa"/>
          </w:tcPr>
          <w:p w:rsidR="00EF6041" w:rsidRPr="000B59E6" w:rsidRDefault="00087EE5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8</w:t>
            </w:r>
          </w:p>
        </w:tc>
        <w:tc>
          <w:tcPr>
            <w:tcW w:w="655" w:type="dxa"/>
          </w:tcPr>
          <w:p w:rsidR="00EF6041" w:rsidRPr="000B59E6" w:rsidRDefault="00E53A7C" w:rsidP="003A5D1B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EF6041" w:rsidRPr="000B59E6" w:rsidRDefault="00EF6041" w:rsidP="00F81A2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EF6041" w:rsidRPr="000B59E6" w:rsidRDefault="00EF6041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1 14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06024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430</w:t>
            </w:r>
          </w:p>
        </w:tc>
        <w:tc>
          <w:tcPr>
            <w:tcW w:w="3043" w:type="dxa"/>
          </w:tcPr>
          <w:p w:rsidR="00EF6041" w:rsidRPr="000B59E6" w:rsidRDefault="00EF6041" w:rsidP="003A5D1B">
            <w:pPr>
              <w:pStyle w:val="TableParagraph"/>
              <w:spacing w:before="95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Доходы от продажи земельных участков, находящихся в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собственности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муниципальных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округов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(за исключением земельных участков муниципальных бюджетных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автономных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учреждений)</w:t>
            </w:r>
          </w:p>
        </w:tc>
        <w:tc>
          <w:tcPr>
            <w:tcW w:w="1453" w:type="dxa"/>
            <w:vMerge/>
          </w:tcPr>
          <w:p w:rsidR="00EF6041" w:rsidRPr="00F927C2" w:rsidRDefault="00EF6041" w:rsidP="00A80EC2">
            <w:pPr>
              <w:pStyle w:val="TableParagraph"/>
              <w:spacing w:before="95"/>
              <w:ind w:left="487" w:right="391" w:hanging="7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EF6041" w:rsidRPr="00F927C2" w:rsidRDefault="00EF6041" w:rsidP="003A5D1B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EF6041" w:rsidRPr="000B59E6" w:rsidRDefault="00EF6041" w:rsidP="003A5D1B">
            <w:pPr>
              <w:pStyle w:val="TableParagraph"/>
              <w:spacing w:before="95"/>
              <w:ind w:left="66" w:right="6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EF6041" w:rsidRPr="000B59E6" w:rsidRDefault="00EF6041" w:rsidP="003A5D1B">
            <w:pPr>
              <w:pStyle w:val="TableParagraph"/>
              <w:spacing w:before="95"/>
              <w:ind w:left="67" w:right="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727BA" w:rsidRPr="000B59E6" w:rsidTr="009B3D92">
        <w:trPr>
          <w:trHeight w:val="2532"/>
        </w:trPr>
        <w:tc>
          <w:tcPr>
            <w:tcW w:w="488" w:type="dxa"/>
            <w:tcBorders>
              <w:top w:val="single" w:sz="4" w:space="0" w:color="auto"/>
            </w:tcBorders>
          </w:tcPr>
          <w:p w:rsidR="008727BA" w:rsidRPr="000B59E6" w:rsidRDefault="00087EE5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lastRenderedPageBreak/>
              <w:t>9</w:t>
            </w:r>
          </w:p>
        </w:tc>
        <w:tc>
          <w:tcPr>
            <w:tcW w:w="655" w:type="dxa"/>
            <w:tcBorders>
              <w:top w:val="single" w:sz="4" w:space="0" w:color="auto"/>
            </w:tcBorders>
          </w:tcPr>
          <w:p w:rsidR="008727BA" w:rsidRPr="000B59E6" w:rsidRDefault="00E53A7C" w:rsidP="008727BA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27BA" w:rsidRPr="000B59E6" w:rsidRDefault="008727BA" w:rsidP="00F81A2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8727BA" w:rsidRPr="000B59E6" w:rsidRDefault="008727BA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1 17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1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040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180</w:t>
            </w:r>
          </w:p>
        </w:tc>
        <w:tc>
          <w:tcPr>
            <w:tcW w:w="3043" w:type="dxa"/>
            <w:tcBorders>
              <w:top w:val="single" w:sz="4" w:space="0" w:color="auto"/>
            </w:tcBorders>
          </w:tcPr>
          <w:p w:rsidR="008727BA" w:rsidRPr="000B59E6" w:rsidRDefault="008727BA" w:rsidP="00D732F3">
            <w:pPr>
              <w:pStyle w:val="TableParagraph"/>
              <w:spacing w:before="95"/>
              <w:ind w:left="64" w:right="43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Прочие неналоговые доходы бюджетов муниципальных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округов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727BA" w:rsidRPr="001A2CD7" w:rsidRDefault="001A2CD7" w:rsidP="001A2CD7">
            <w:pPr>
              <w:pStyle w:val="TableParagraph"/>
              <w:spacing w:before="95"/>
              <w:ind w:right="391"/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   </w:t>
            </w:r>
            <w:proofErr w:type="spellStart"/>
            <w:r w:rsidR="008727BA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Иной</w:t>
            </w:r>
            <w:proofErr w:type="spellEnd"/>
            <w:r w:rsidR="008727BA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м</w:t>
            </w:r>
            <w:proofErr w:type="spellStart"/>
            <w:r w:rsidR="008727BA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етод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27BA" w:rsidRPr="000B59E6" w:rsidRDefault="008727BA" w:rsidP="00D732F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727BA" w:rsidRPr="000B59E6" w:rsidRDefault="008727BA" w:rsidP="00A375D7">
            <w:pPr>
              <w:pStyle w:val="TableParagraph"/>
              <w:spacing w:before="97"/>
              <w:ind w:left="142" w:right="6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Доход носит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несистемный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характер и относится к категории не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поддающихся объективному прогнозированию,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связи с чем, его прогнозный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объем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поступлений принимается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равным 0.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727BA" w:rsidRPr="000B59E6" w:rsidRDefault="008727BA" w:rsidP="00A375D7">
            <w:pPr>
              <w:pStyle w:val="TableParagraph"/>
              <w:ind w:left="142"/>
              <w:rPr>
                <w:sz w:val="18"/>
                <w:szCs w:val="18"/>
                <w:lang w:val="ru-RU"/>
              </w:rPr>
            </w:pPr>
          </w:p>
        </w:tc>
      </w:tr>
      <w:tr w:rsidR="00CD146E" w:rsidRPr="000B59E6" w:rsidTr="009B3D92">
        <w:trPr>
          <w:trHeight w:val="1979"/>
        </w:trPr>
        <w:tc>
          <w:tcPr>
            <w:tcW w:w="488" w:type="dxa"/>
          </w:tcPr>
          <w:p w:rsidR="00CD146E" w:rsidRPr="000B59E6" w:rsidRDefault="00087EE5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10</w:t>
            </w:r>
          </w:p>
          <w:p w:rsidR="00CD146E" w:rsidRPr="000B59E6" w:rsidRDefault="00CD146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55" w:type="dxa"/>
          </w:tcPr>
          <w:p w:rsidR="00CD146E" w:rsidRPr="000B59E6" w:rsidRDefault="00CD146E" w:rsidP="00EE193D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CD146E" w:rsidRPr="000B59E6" w:rsidRDefault="00CD146E" w:rsidP="00CD146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CD146E" w:rsidRPr="00CD146E" w:rsidRDefault="00CD146E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25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497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CD146E" w:rsidRPr="000B59E6" w:rsidRDefault="00CD146E" w:rsidP="00EE193D">
            <w:pPr>
              <w:pStyle w:val="TableParagraph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453" w:type="dxa"/>
            <w:vMerge w:val="restart"/>
          </w:tcPr>
          <w:p w:rsidR="001A2CD7" w:rsidRDefault="00CD146E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етод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D146E" w:rsidRPr="000B59E6" w:rsidRDefault="00CD146E" w:rsidP="00A80EC2">
            <w:pPr>
              <w:jc w:val="center"/>
              <w:rPr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прямого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</w:p>
          <w:p w:rsidR="00CD146E" w:rsidRPr="000B59E6" w:rsidRDefault="00CD146E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CD146E" w:rsidRPr="000B59E6" w:rsidRDefault="00CD146E" w:rsidP="001A2CD7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 = S</w:t>
            </w:r>
          </w:p>
        </w:tc>
        <w:tc>
          <w:tcPr>
            <w:tcW w:w="2410" w:type="dxa"/>
            <w:vMerge w:val="restart"/>
          </w:tcPr>
          <w:p w:rsidR="00CD146E" w:rsidRPr="00F927C2" w:rsidRDefault="00CD146E" w:rsidP="00D86E33">
            <w:pPr>
              <w:pStyle w:val="ConsPlusNormal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Источник информации: показатели, утвержденные областным  законом об областном бюджете на текущий (очередной) финансовый год и на плановый период и соответствующими нормативными правовыми актами Правительства Смоленской области</w:t>
            </w:r>
          </w:p>
          <w:p w:rsidR="00CD146E" w:rsidRPr="000B59E6" w:rsidRDefault="00CD146E" w:rsidP="00A375D7">
            <w:pPr>
              <w:pStyle w:val="TableParagraph"/>
              <w:spacing w:before="95"/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CD146E" w:rsidRPr="00F927C2" w:rsidRDefault="00CD146E" w:rsidP="00A375D7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прогноз поступлений,</w:t>
            </w:r>
          </w:p>
          <w:p w:rsidR="00CD146E" w:rsidRPr="00F927C2" w:rsidRDefault="00CD146E" w:rsidP="00A375D7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сумма, предусмотренная в областном бюджете</w:t>
            </w:r>
          </w:p>
        </w:tc>
      </w:tr>
      <w:tr w:rsidR="00087EE5" w:rsidRPr="000B59E6" w:rsidTr="009B3D92">
        <w:trPr>
          <w:trHeight w:val="1823"/>
        </w:trPr>
        <w:tc>
          <w:tcPr>
            <w:tcW w:w="488" w:type="dxa"/>
          </w:tcPr>
          <w:p w:rsidR="00087EE5" w:rsidRPr="000D5748" w:rsidRDefault="00087EE5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11</w:t>
            </w:r>
          </w:p>
        </w:tc>
        <w:tc>
          <w:tcPr>
            <w:tcW w:w="655" w:type="dxa"/>
          </w:tcPr>
          <w:p w:rsidR="00087EE5" w:rsidRPr="000B59E6" w:rsidRDefault="00087EE5" w:rsidP="00EE193D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087EE5" w:rsidRPr="000B59E6" w:rsidRDefault="00087EE5" w:rsidP="009F62AA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D146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Администрация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087EE5" w:rsidRPr="000B59E6" w:rsidRDefault="00087EE5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25555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087EE5" w:rsidRPr="000B59E6" w:rsidRDefault="00087EE5" w:rsidP="00EE193D">
            <w:pPr>
              <w:pStyle w:val="TableParagraph"/>
              <w:spacing w:before="97"/>
              <w:ind w:left="64" w:right="19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Субсидии бюджетам муниципальных округов на реализацию программ формирования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современной городской среды</w:t>
            </w:r>
          </w:p>
        </w:tc>
        <w:tc>
          <w:tcPr>
            <w:tcW w:w="1453" w:type="dxa"/>
            <w:vMerge/>
          </w:tcPr>
          <w:p w:rsidR="00087EE5" w:rsidRPr="00F927C2" w:rsidRDefault="00087EE5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87EE5" w:rsidRPr="00F927C2" w:rsidRDefault="00087EE5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87EE5" w:rsidRPr="000B59E6" w:rsidRDefault="00087EE5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87EE5" w:rsidRPr="000B59E6" w:rsidRDefault="00087EE5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9B3D92">
        <w:trPr>
          <w:trHeight w:val="989"/>
        </w:trPr>
        <w:tc>
          <w:tcPr>
            <w:tcW w:w="488" w:type="dxa"/>
          </w:tcPr>
          <w:p w:rsidR="000B59E6" w:rsidRPr="000B59E6" w:rsidRDefault="00087EE5" w:rsidP="00EE193D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12</w:t>
            </w:r>
          </w:p>
        </w:tc>
        <w:tc>
          <w:tcPr>
            <w:tcW w:w="655" w:type="dxa"/>
          </w:tcPr>
          <w:p w:rsidR="000B59E6" w:rsidRPr="000B59E6" w:rsidRDefault="00087EE5" w:rsidP="00EE193D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0B59E6" w:rsidRPr="000B59E6" w:rsidRDefault="000B59E6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087EE5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0B59E6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29999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0B59E6" w:rsidRPr="000B59E6" w:rsidRDefault="000B59E6" w:rsidP="00EE193D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Прочие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субсидии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бюджетам муниципальных округов</w:t>
            </w:r>
          </w:p>
        </w:tc>
        <w:tc>
          <w:tcPr>
            <w:tcW w:w="1453" w:type="dxa"/>
            <w:vMerge/>
          </w:tcPr>
          <w:p w:rsidR="000B59E6" w:rsidRPr="00F927C2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F927C2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9B3D92">
        <w:trPr>
          <w:trHeight w:val="989"/>
        </w:trPr>
        <w:tc>
          <w:tcPr>
            <w:tcW w:w="488" w:type="dxa"/>
          </w:tcPr>
          <w:p w:rsidR="000B59E6" w:rsidRPr="000B59E6" w:rsidRDefault="00087EE5" w:rsidP="00DD1BD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13</w:t>
            </w:r>
          </w:p>
        </w:tc>
        <w:tc>
          <w:tcPr>
            <w:tcW w:w="655" w:type="dxa"/>
          </w:tcPr>
          <w:p w:rsidR="000B59E6" w:rsidRPr="000B59E6" w:rsidRDefault="00087EE5" w:rsidP="00DD1BD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0B59E6" w:rsidRPr="000B59E6" w:rsidRDefault="000B59E6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087EE5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087EE5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муниципальный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округ» Смоленской области</w:t>
            </w:r>
          </w:p>
        </w:tc>
        <w:tc>
          <w:tcPr>
            <w:tcW w:w="1937" w:type="dxa"/>
          </w:tcPr>
          <w:p w:rsidR="000B59E6" w:rsidRPr="000B59E6" w:rsidRDefault="000B59E6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30024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0B59E6" w:rsidRPr="000B59E6" w:rsidRDefault="000B59E6" w:rsidP="00DD1BD3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муниципальных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округов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453" w:type="dxa"/>
            <w:vMerge/>
          </w:tcPr>
          <w:p w:rsidR="000B59E6" w:rsidRPr="000B59E6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0B59E6" w:rsidRDefault="000B59E6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</w:tr>
      <w:tr w:rsidR="000B59E6" w:rsidRPr="000B59E6" w:rsidTr="009B3D92">
        <w:trPr>
          <w:trHeight w:val="1624"/>
        </w:trPr>
        <w:tc>
          <w:tcPr>
            <w:tcW w:w="488" w:type="dxa"/>
          </w:tcPr>
          <w:p w:rsidR="000B59E6" w:rsidRPr="000B59E6" w:rsidRDefault="00087EE5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lastRenderedPageBreak/>
              <w:t>14</w:t>
            </w:r>
          </w:p>
        </w:tc>
        <w:tc>
          <w:tcPr>
            <w:tcW w:w="655" w:type="dxa"/>
          </w:tcPr>
          <w:p w:rsidR="000B59E6" w:rsidRPr="000B59E6" w:rsidRDefault="00087EE5" w:rsidP="00EE193D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0B59E6" w:rsidRPr="000B59E6" w:rsidRDefault="000B59E6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087EE5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0B59E6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35118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0B59E6" w:rsidRPr="000B59E6" w:rsidRDefault="000B59E6" w:rsidP="00EE193D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муниципальных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городских округов муниципальных и городских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округов</w:t>
            </w:r>
          </w:p>
        </w:tc>
        <w:tc>
          <w:tcPr>
            <w:tcW w:w="1453" w:type="dxa"/>
            <w:vMerge/>
          </w:tcPr>
          <w:p w:rsidR="000B59E6" w:rsidRPr="00F927C2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F927C2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9B3D92">
        <w:trPr>
          <w:trHeight w:val="1261"/>
        </w:trPr>
        <w:tc>
          <w:tcPr>
            <w:tcW w:w="488" w:type="dxa"/>
          </w:tcPr>
          <w:p w:rsidR="000B59E6" w:rsidRPr="000D5748" w:rsidRDefault="00087EE5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15</w:t>
            </w:r>
          </w:p>
        </w:tc>
        <w:tc>
          <w:tcPr>
            <w:tcW w:w="655" w:type="dxa"/>
          </w:tcPr>
          <w:p w:rsidR="000B59E6" w:rsidRPr="000B59E6" w:rsidRDefault="00087EE5" w:rsidP="00EE193D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0B59E6" w:rsidRPr="000B59E6" w:rsidRDefault="000B59E6" w:rsidP="00087EE5">
            <w:pPr>
              <w:pStyle w:val="TableParagraph"/>
              <w:spacing w:before="95"/>
              <w:ind w:left="96" w:right="84" w:firstLine="3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087EE5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0B59E6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35120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0B59E6" w:rsidRPr="000B59E6" w:rsidRDefault="000B59E6" w:rsidP="00EE193D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муниципальных округов на осуществление полномочий по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составлению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(изменению) списков кандидатов в присяжные заседатели федеральных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судов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общей юрисдикции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Российской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Федерации</w:t>
            </w:r>
          </w:p>
        </w:tc>
        <w:tc>
          <w:tcPr>
            <w:tcW w:w="1453" w:type="dxa"/>
            <w:vMerge/>
          </w:tcPr>
          <w:p w:rsidR="000B59E6" w:rsidRPr="00F927C2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F927C2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9B3D92">
        <w:trPr>
          <w:trHeight w:val="1557"/>
        </w:trPr>
        <w:tc>
          <w:tcPr>
            <w:tcW w:w="488" w:type="dxa"/>
          </w:tcPr>
          <w:p w:rsidR="000B59E6" w:rsidRPr="000B59E6" w:rsidRDefault="00087EE5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16</w:t>
            </w:r>
          </w:p>
        </w:tc>
        <w:tc>
          <w:tcPr>
            <w:tcW w:w="655" w:type="dxa"/>
          </w:tcPr>
          <w:p w:rsidR="000B59E6" w:rsidRPr="000B59E6" w:rsidRDefault="00087EE5" w:rsidP="00EE193D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0B59E6" w:rsidRPr="000B59E6" w:rsidRDefault="000B59E6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087EE5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0B59E6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35930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0B59E6" w:rsidRPr="000B59E6" w:rsidRDefault="000B59E6" w:rsidP="00EE193D">
            <w:pPr>
              <w:pStyle w:val="TableParagraph"/>
              <w:spacing w:before="97"/>
              <w:ind w:left="64" w:right="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муниципальных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округов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государственную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регистрацию актов гражданского состояния</w:t>
            </w:r>
          </w:p>
        </w:tc>
        <w:tc>
          <w:tcPr>
            <w:tcW w:w="1453" w:type="dxa"/>
            <w:vMerge/>
          </w:tcPr>
          <w:p w:rsidR="000B59E6" w:rsidRPr="00F927C2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F927C2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9B3D92">
        <w:trPr>
          <w:trHeight w:val="1551"/>
        </w:trPr>
        <w:tc>
          <w:tcPr>
            <w:tcW w:w="488" w:type="dxa"/>
          </w:tcPr>
          <w:p w:rsidR="000B59E6" w:rsidRPr="000B59E6" w:rsidRDefault="00087EE5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17</w:t>
            </w:r>
          </w:p>
        </w:tc>
        <w:tc>
          <w:tcPr>
            <w:tcW w:w="655" w:type="dxa"/>
          </w:tcPr>
          <w:p w:rsidR="000B59E6" w:rsidRPr="000B59E6" w:rsidRDefault="00087EE5" w:rsidP="00DD1BD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0B59E6" w:rsidRPr="000B59E6" w:rsidRDefault="000B59E6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087EE5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0B59E6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49999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0B59E6" w:rsidRPr="000B59E6" w:rsidRDefault="000B59E6" w:rsidP="00DD1BD3">
            <w:pPr>
              <w:pStyle w:val="TableParagraph"/>
              <w:spacing w:before="97"/>
              <w:ind w:left="64" w:right="30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Прочие межбюджетные трансферты,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передаваемые бюджетам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муниципальных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округов</w:t>
            </w:r>
          </w:p>
        </w:tc>
        <w:tc>
          <w:tcPr>
            <w:tcW w:w="1453" w:type="dxa"/>
            <w:vMerge/>
          </w:tcPr>
          <w:p w:rsidR="000B59E6" w:rsidRPr="000B59E6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0B59E6" w:rsidRDefault="000B59E6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</w:tr>
      <w:tr w:rsidR="00EE193D" w:rsidRPr="000B59E6" w:rsidTr="009B3D92">
        <w:trPr>
          <w:trHeight w:val="1870"/>
        </w:trPr>
        <w:tc>
          <w:tcPr>
            <w:tcW w:w="488" w:type="dxa"/>
          </w:tcPr>
          <w:p w:rsidR="00EE193D" w:rsidRPr="000B59E6" w:rsidRDefault="00087EE5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18</w:t>
            </w:r>
          </w:p>
        </w:tc>
        <w:tc>
          <w:tcPr>
            <w:tcW w:w="655" w:type="dxa"/>
          </w:tcPr>
          <w:p w:rsidR="00EE193D" w:rsidRPr="000B59E6" w:rsidRDefault="00087EE5" w:rsidP="00EE193D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908</w:t>
            </w:r>
          </w:p>
        </w:tc>
        <w:tc>
          <w:tcPr>
            <w:tcW w:w="1417" w:type="dxa"/>
          </w:tcPr>
          <w:p w:rsidR="00EE193D" w:rsidRPr="000B59E6" w:rsidRDefault="00EE193D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Администрация </w:t>
            </w:r>
            <w:r w:rsidR="009F62AA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униципального образования «</w:t>
            </w:r>
            <w:r w:rsidR="00087EE5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EE193D" w:rsidRPr="000B59E6" w:rsidRDefault="00EE193D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2 19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60010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EE193D" w:rsidRPr="000B59E6" w:rsidRDefault="00EE193D" w:rsidP="00EE193D">
            <w:pPr>
              <w:pStyle w:val="TableParagraph"/>
              <w:spacing w:before="97"/>
              <w:ind w:left="64" w:right="4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Возврат прочих остатков субсидий, субвенций и иных межбюджетных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трансфертов, имеющих целевое назначение, прошлых лет из бюджетов муниципальных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округов</w:t>
            </w:r>
          </w:p>
        </w:tc>
        <w:tc>
          <w:tcPr>
            <w:tcW w:w="1453" w:type="dxa"/>
          </w:tcPr>
          <w:p w:rsidR="00EE193D" w:rsidRPr="000B59E6" w:rsidRDefault="001A2CD7" w:rsidP="001A2CD7">
            <w:pPr>
              <w:pStyle w:val="TableParagraph"/>
              <w:spacing w:before="95"/>
              <w:ind w:right="3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E193D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Иной</w:t>
            </w:r>
            <w:proofErr w:type="spellEnd"/>
            <w:r w:rsidR="00EE193D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E193D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метод</w:t>
            </w:r>
            <w:proofErr w:type="spellEnd"/>
          </w:p>
        </w:tc>
        <w:tc>
          <w:tcPr>
            <w:tcW w:w="1701" w:type="dxa"/>
          </w:tcPr>
          <w:p w:rsidR="00EE193D" w:rsidRPr="000B59E6" w:rsidRDefault="00EE193D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E193D" w:rsidRPr="00731BA4" w:rsidRDefault="00731BA4" w:rsidP="00EE193D">
            <w:pPr>
              <w:pStyle w:val="TableParagraph"/>
              <w:spacing w:before="95"/>
              <w:ind w:left="66" w:right="18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1B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Расчет объема поступлений не осуществляется в связи с несистематичностью их образования</w:t>
            </w:r>
          </w:p>
        </w:tc>
        <w:tc>
          <w:tcPr>
            <w:tcW w:w="1985" w:type="dxa"/>
          </w:tcPr>
          <w:p w:rsidR="00EE193D" w:rsidRPr="000B59E6" w:rsidRDefault="00EE193D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EE193D" w:rsidRPr="00EE193D" w:rsidRDefault="006F5099" w:rsidP="00087EE5">
      <w:pPr>
        <w:pStyle w:val="a6"/>
        <w:spacing w:before="14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F022FF" wp14:editId="027B85AE">
                <wp:simplePos x="0" y="0"/>
                <wp:positionH relativeFrom="page">
                  <wp:posOffset>702310</wp:posOffset>
                </wp:positionH>
                <wp:positionV relativeFrom="paragraph">
                  <wp:posOffset>250825</wp:posOffset>
                </wp:positionV>
                <wp:extent cx="1896110" cy="1270"/>
                <wp:effectExtent l="0" t="0" r="8890" b="0"/>
                <wp:wrapTopAndBottom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2986"/>
                            <a:gd name="T2" fmla="+- 0 4092 1106"/>
                            <a:gd name="T3" fmla="*/ T2 w 2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6">
                              <a:moveTo>
                                <a:pt x="0" y="0"/>
                              </a:moveTo>
                              <a:lnTo>
                                <a:pt x="2986" y="0"/>
                              </a:lnTo>
                            </a:path>
                          </a:pathLst>
                        </a:custGeom>
                        <a:noFill/>
                        <a:ln w="1315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1D2914" id="docshape17" o:spid="_x0000_s1026" style="position:absolute;margin-left:55.3pt;margin-top:19.75pt;width:149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" path="m,l2986,e" filled="f" strokeweight=".36553mm">
                <v:stroke dashstyle="dash"/>
                <v:path arrowok="t" o:connecttype="custom" o:connectlocs="0,0;1896110,0" o:connectangles="0,0"/>
                <w10:wrap type="topAndBottom" anchorx="page"/>
              </v:shape>
            </w:pict>
          </mc:Fallback>
        </mc:AlternateContent>
      </w:r>
    </w:p>
    <w:p w:rsidR="00EE193D" w:rsidRPr="00EE193D" w:rsidRDefault="00EE193D" w:rsidP="00EE193D">
      <w:pPr>
        <w:ind w:left="681"/>
        <w:rPr>
          <w:sz w:val="16"/>
        </w:rPr>
      </w:pPr>
      <w:bookmarkStart w:id="1" w:name="_bookmark0"/>
      <w:bookmarkEnd w:id="1"/>
      <w:r w:rsidRPr="00EE193D">
        <w:rPr>
          <w:sz w:val="16"/>
        </w:rPr>
        <w:t>&lt;1&gt;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Код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бюджетной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классификации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доходов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без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пробелов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и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кода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главы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главного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администратора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доходов</w:t>
      </w:r>
      <w:r w:rsidRPr="00EE193D">
        <w:rPr>
          <w:spacing w:val="-4"/>
          <w:sz w:val="16"/>
        </w:rPr>
        <w:t xml:space="preserve"> </w:t>
      </w:r>
      <w:r w:rsidRPr="00EE193D">
        <w:rPr>
          <w:spacing w:val="-2"/>
          <w:sz w:val="16"/>
        </w:rPr>
        <w:t>бюджета.</w:t>
      </w:r>
    </w:p>
    <w:p w:rsidR="00EE193D" w:rsidRPr="00EE193D" w:rsidRDefault="00EE193D" w:rsidP="00EE193D">
      <w:pPr>
        <w:ind w:left="141" w:right="423" w:firstLine="540"/>
        <w:jc w:val="both"/>
        <w:rPr>
          <w:sz w:val="16"/>
        </w:rPr>
      </w:pPr>
      <w:bookmarkStart w:id="2" w:name="_bookmark1"/>
      <w:bookmarkEnd w:id="2"/>
      <w:proofErr w:type="gramStart"/>
      <w:r w:rsidRPr="00EE193D">
        <w:rPr>
          <w:sz w:val="16"/>
        </w:rPr>
        <w:t xml:space="preserve">&lt;2&gt; Характеристика метода расчета прогнозного объема поступлений (определяемая в соответствии с </w:t>
      </w:r>
      <w:r w:rsidRPr="00A375D7">
        <w:rPr>
          <w:sz w:val="16"/>
        </w:rPr>
        <w:t xml:space="preserve">подпунктом "в" пункта 3 </w:t>
      </w:r>
      <w:r w:rsidRPr="00EE193D">
        <w:rPr>
          <w:sz w:val="16"/>
        </w:rPr>
        <w:t>общих требований к методике прогнозирования поступлений доходов в бюджеты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бюджеты бюджетной системы Российской Федерации").</w:t>
      </w:r>
      <w:proofErr w:type="gramEnd"/>
    </w:p>
    <w:p w:rsidR="00EE193D" w:rsidRPr="00EE193D" w:rsidRDefault="00EE193D" w:rsidP="00EE193D">
      <w:pPr>
        <w:spacing w:before="1"/>
        <w:ind w:left="681"/>
        <w:rPr>
          <w:sz w:val="16"/>
        </w:rPr>
      </w:pPr>
      <w:bookmarkStart w:id="3" w:name="_bookmark2"/>
      <w:bookmarkEnd w:id="3"/>
      <w:r w:rsidRPr="00EE193D">
        <w:rPr>
          <w:sz w:val="16"/>
        </w:rPr>
        <w:t>&lt;3&gt;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Формула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расчета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прогнозируемого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объема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поступлений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(при</w:t>
      </w:r>
      <w:r w:rsidRPr="00EE193D">
        <w:rPr>
          <w:spacing w:val="-7"/>
          <w:sz w:val="16"/>
        </w:rPr>
        <w:t xml:space="preserve"> </w:t>
      </w:r>
      <w:r w:rsidRPr="00EE193D">
        <w:rPr>
          <w:spacing w:val="-2"/>
          <w:sz w:val="16"/>
        </w:rPr>
        <w:t>наличии).</w:t>
      </w:r>
    </w:p>
    <w:p w:rsidR="00EE193D" w:rsidRPr="00EE193D" w:rsidRDefault="00EE193D" w:rsidP="00EE193D">
      <w:pPr>
        <w:ind w:left="141" w:right="422" w:firstLine="540"/>
        <w:jc w:val="both"/>
        <w:rPr>
          <w:sz w:val="16"/>
        </w:rPr>
      </w:pPr>
      <w:bookmarkStart w:id="4" w:name="_bookmark3"/>
      <w:bookmarkEnd w:id="4"/>
      <w:r w:rsidRPr="00EE193D">
        <w:rPr>
          <w:sz w:val="16"/>
        </w:rPr>
        <w:lastRenderedPageBreak/>
        <w:t>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формулы</w:t>
      </w:r>
      <w:r w:rsidRPr="00EE193D">
        <w:rPr>
          <w:spacing w:val="-1"/>
          <w:sz w:val="16"/>
        </w:rPr>
        <w:t xml:space="preserve"> </w:t>
      </w:r>
      <w:r w:rsidRPr="00EE193D">
        <w:rPr>
          <w:sz w:val="16"/>
        </w:rPr>
        <w:t>расчета).</w:t>
      </w:r>
    </w:p>
    <w:p w:rsidR="00EE193D" w:rsidRPr="00EE193D" w:rsidRDefault="00EE193D" w:rsidP="00EE193D">
      <w:pPr>
        <w:spacing w:before="47"/>
        <w:ind w:left="662"/>
        <w:rPr>
          <w:sz w:val="16"/>
        </w:rPr>
      </w:pPr>
      <w:bookmarkStart w:id="5" w:name="_bookmark4"/>
      <w:bookmarkEnd w:id="5"/>
      <w:r w:rsidRPr="00EE193D">
        <w:rPr>
          <w:sz w:val="16"/>
        </w:rPr>
        <w:t>&lt;5&gt;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Описание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всех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показателей,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используемых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для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расчета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прогнозного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объема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поступлений,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с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указанием</w:t>
      </w:r>
      <w:r w:rsidRPr="00EE193D">
        <w:rPr>
          <w:spacing w:val="-3"/>
          <w:sz w:val="16"/>
        </w:rPr>
        <w:t xml:space="preserve"> </w:t>
      </w:r>
      <w:r w:rsidRPr="00EE193D">
        <w:rPr>
          <w:sz w:val="16"/>
        </w:rPr>
        <w:t>алгоритма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определения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значения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(источника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данных)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для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каждого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из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соответствующих</w:t>
      </w:r>
      <w:r w:rsidRPr="00EE193D">
        <w:rPr>
          <w:spacing w:val="-7"/>
          <w:sz w:val="16"/>
        </w:rPr>
        <w:t xml:space="preserve"> </w:t>
      </w:r>
      <w:r w:rsidRPr="00EE193D">
        <w:rPr>
          <w:spacing w:val="-2"/>
          <w:sz w:val="16"/>
        </w:rPr>
        <w:t>показателей.</w:t>
      </w:r>
    </w:p>
    <w:p w:rsidR="00AE35CF" w:rsidRPr="00EE193D" w:rsidRDefault="00AE35CF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</w:p>
    <w:p w:rsidR="00AE35CF" w:rsidRPr="00EE193D" w:rsidRDefault="00AE35CF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</w:p>
    <w:sectPr w:rsidR="00AE35CF" w:rsidRPr="00EE193D" w:rsidSect="001A2CD7">
      <w:headerReference w:type="even" r:id="rId10"/>
      <w:headerReference w:type="default" r:id="rId11"/>
      <w:pgSz w:w="16838" w:h="11906" w:orient="landscape"/>
      <w:pgMar w:top="70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61" w:rsidRDefault="00636A61">
      <w:r>
        <w:separator/>
      </w:r>
    </w:p>
  </w:endnote>
  <w:endnote w:type="continuationSeparator" w:id="0">
    <w:p w:rsidR="00636A61" w:rsidRDefault="0063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61" w:rsidRDefault="00636A61">
      <w:r>
        <w:separator/>
      </w:r>
    </w:p>
  </w:footnote>
  <w:footnote w:type="continuationSeparator" w:id="0">
    <w:p w:rsidR="00636A61" w:rsidRDefault="00636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17" w:rsidRDefault="0073156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7D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7D17" w:rsidRDefault="00CF7D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17" w:rsidRDefault="0073156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7D1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2A93">
      <w:rPr>
        <w:rStyle w:val="a8"/>
        <w:noProof/>
      </w:rPr>
      <w:t>10</w:t>
    </w:r>
    <w:r>
      <w:rPr>
        <w:rStyle w:val="a8"/>
      </w:rPr>
      <w:fldChar w:fldCharType="end"/>
    </w:r>
  </w:p>
  <w:p w:rsidR="00CF7D17" w:rsidRDefault="00CF7D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3B893FA3"/>
    <w:multiLevelType w:val="hybridMultilevel"/>
    <w:tmpl w:val="347E1C7C"/>
    <w:lvl w:ilvl="0" w:tplc="23EC585A">
      <w:start w:val="1"/>
      <w:numFmt w:val="decimal"/>
      <w:lvlText w:val="%1.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18B84C">
      <w:numFmt w:val="bullet"/>
      <w:lvlText w:val="-"/>
      <w:lvlJc w:val="left"/>
      <w:pPr>
        <w:ind w:left="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A452D6">
      <w:numFmt w:val="bullet"/>
      <w:lvlText w:val="•"/>
      <w:lvlJc w:val="left"/>
      <w:pPr>
        <w:ind w:left="2012" w:hanging="370"/>
      </w:pPr>
      <w:rPr>
        <w:rFonts w:hint="default"/>
        <w:lang w:val="ru-RU" w:eastAsia="en-US" w:bidi="ar-SA"/>
      </w:rPr>
    </w:lvl>
    <w:lvl w:ilvl="3" w:tplc="3ABC9DF2">
      <w:numFmt w:val="bullet"/>
      <w:lvlText w:val="•"/>
      <w:lvlJc w:val="left"/>
      <w:pPr>
        <w:ind w:left="3019" w:hanging="370"/>
      </w:pPr>
      <w:rPr>
        <w:rFonts w:hint="default"/>
        <w:lang w:val="ru-RU" w:eastAsia="en-US" w:bidi="ar-SA"/>
      </w:rPr>
    </w:lvl>
    <w:lvl w:ilvl="4" w:tplc="D4FED480">
      <w:numFmt w:val="bullet"/>
      <w:lvlText w:val="•"/>
      <w:lvlJc w:val="left"/>
      <w:pPr>
        <w:ind w:left="4025" w:hanging="370"/>
      </w:pPr>
      <w:rPr>
        <w:rFonts w:hint="default"/>
        <w:lang w:val="ru-RU" w:eastAsia="en-US" w:bidi="ar-SA"/>
      </w:rPr>
    </w:lvl>
    <w:lvl w:ilvl="5" w:tplc="E6284DF6">
      <w:numFmt w:val="bullet"/>
      <w:lvlText w:val="•"/>
      <w:lvlJc w:val="left"/>
      <w:pPr>
        <w:ind w:left="5032" w:hanging="370"/>
      </w:pPr>
      <w:rPr>
        <w:rFonts w:hint="default"/>
        <w:lang w:val="ru-RU" w:eastAsia="en-US" w:bidi="ar-SA"/>
      </w:rPr>
    </w:lvl>
    <w:lvl w:ilvl="6" w:tplc="469C1A36">
      <w:numFmt w:val="bullet"/>
      <w:lvlText w:val="•"/>
      <w:lvlJc w:val="left"/>
      <w:pPr>
        <w:ind w:left="6038" w:hanging="370"/>
      </w:pPr>
      <w:rPr>
        <w:rFonts w:hint="default"/>
        <w:lang w:val="ru-RU" w:eastAsia="en-US" w:bidi="ar-SA"/>
      </w:rPr>
    </w:lvl>
    <w:lvl w:ilvl="7" w:tplc="FB0C930A">
      <w:numFmt w:val="bullet"/>
      <w:lvlText w:val="•"/>
      <w:lvlJc w:val="left"/>
      <w:pPr>
        <w:ind w:left="7045" w:hanging="370"/>
      </w:pPr>
      <w:rPr>
        <w:rFonts w:hint="default"/>
        <w:lang w:val="ru-RU" w:eastAsia="en-US" w:bidi="ar-SA"/>
      </w:rPr>
    </w:lvl>
    <w:lvl w:ilvl="8" w:tplc="8CAE8820">
      <w:numFmt w:val="bullet"/>
      <w:lvlText w:val="•"/>
      <w:lvlJc w:val="left"/>
      <w:pPr>
        <w:ind w:left="8051" w:hanging="370"/>
      </w:pPr>
      <w:rPr>
        <w:rFonts w:hint="default"/>
        <w:lang w:val="ru-RU" w:eastAsia="en-US" w:bidi="ar-SA"/>
      </w:rPr>
    </w:lvl>
  </w:abstractNum>
  <w:abstractNum w:abstractNumId="2">
    <w:nsid w:val="4BFF2FB1"/>
    <w:multiLevelType w:val="hybridMultilevel"/>
    <w:tmpl w:val="988C9DA4"/>
    <w:lvl w:ilvl="0" w:tplc="1A36F8A8">
      <w:start w:val="1"/>
      <w:numFmt w:val="decimal"/>
      <w:lvlText w:val="%1."/>
      <w:lvlJc w:val="left"/>
      <w:pPr>
        <w:ind w:left="1" w:hanging="4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24C164">
      <w:numFmt w:val="bullet"/>
      <w:lvlText w:val="–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ED2FF06">
      <w:numFmt w:val="bullet"/>
      <w:lvlText w:val="•"/>
      <w:lvlJc w:val="left"/>
      <w:pPr>
        <w:ind w:left="1242" w:hanging="228"/>
      </w:pPr>
      <w:rPr>
        <w:rFonts w:hint="default"/>
        <w:lang w:val="ru-RU" w:eastAsia="en-US" w:bidi="ar-SA"/>
      </w:rPr>
    </w:lvl>
    <w:lvl w:ilvl="3" w:tplc="4768F504">
      <w:numFmt w:val="bullet"/>
      <w:lvlText w:val="•"/>
      <w:lvlJc w:val="left"/>
      <w:pPr>
        <w:ind w:left="2345" w:hanging="228"/>
      </w:pPr>
      <w:rPr>
        <w:rFonts w:hint="default"/>
        <w:lang w:val="ru-RU" w:eastAsia="en-US" w:bidi="ar-SA"/>
      </w:rPr>
    </w:lvl>
    <w:lvl w:ilvl="4" w:tplc="43DE0B62">
      <w:numFmt w:val="bullet"/>
      <w:lvlText w:val="•"/>
      <w:lvlJc w:val="left"/>
      <w:pPr>
        <w:ind w:left="3448" w:hanging="228"/>
      </w:pPr>
      <w:rPr>
        <w:rFonts w:hint="default"/>
        <w:lang w:val="ru-RU" w:eastAsia="en-US" w:bidi="ar-SA"/>
      </w:rPr>
    </w:lvl>
    <w:lvl w:ilvl="5" w:tplc="0B1A20CE">
      <w:numFmt w:val="bullet"/>
      <w:lvlText w:val="•"/>
      <w:lvlJc w:val="left"/>
      <w:pPr>
        <w:ind w:left="4550" w:hanging="228"/>
      </w:pPr>
      <w:rPr>
        <w:rFonts w:hint="default"/>
        <w:lang w:val="ru-RU" w:eastAsia="en-US" w:bidi="ar-SA"/>
      </w:rPr>
    </w:lvl>
    <w:lvl w:ilvl="6" w:tplc="F49CA6CE">
      <w:numFmt w:val="bullet"/>
      <w:lvlText w:val="•"/>
      <w:lvlJc w:val="left"/>
      <w:pPr>
        <w:ind w:left="5653" w:hanging="228"/>
      </w:pPr>
      <w:rPr>
        <w:rFonts w:hint="default"/>
        <w:lang w:val="ru-RU" w:eastAsia="en-US" w:bidi="ar-SA"/>
      </w:rPr>
    </w:lvl>
    <w:lvl w:ilvl="7" w:tplc="9850AC4E">
      <w:numFmt w:val="bullet"/>
      <w:lvlText w:val="•"/>
      <w:lvlJc w:val="left"/>
      <w:pPr>
        <w:ind w:left="6756" w:hanging="228"/>
      </w:pPr>
      <w:rPr>
        <w:rFonts w:hint="default"/>
        <w:lang w:val="ru-RU" w:eastAsia="en-US" w:bidi="ar-SA"/>
      </w:rPr>
    </w:lvl>
    <w:lvl w:ilvl="8" w:tplc="BA76BCAE">
      <w:numFmt w:val="bullet"/>
      <w:lvlText w:val="•"/>
      <w:lvlJc w:val="left"/>
      <w:pPr>
        <w:ind w:left="7858" w:hanging="228"/>
      </w:pPr>
      <w:rPr>
        <w:rFonts w:hint="default"/>
        <w:lang w:val="ru-RU" w:eastAsia="en-US" w:bidi="ar-SA"/>
      </w:rPr>
    </w:lvl>
  </w:abstractNum>
  <w:abstractNum w:abstractNumId="3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028D2"/>
    <w:rsid w:val="000115EC"/>
    <w:rsid w:val="0001161F"/>
    <w:rsid w:val="0004244F"/>
    <w:rsid w:val="00073E82"/>
    <w:rsid w:val="00082A93"/>
    <w:rsid w:val="00087EE5"/>
    <w:rsid w:val="00096612"/>
    <w:rsid w:val="000B2952"/>
    <w:rsid w:val="000B53C7"/>
    <w:rsid w:val="000B59E6"/>
    <w:rsid w:val="000C673E"/>
    <w:rsid w:val="000C6902"/>
    <w:rsid w:val="000D1051"/>
    <w:rsid w:val="000D2FA2"/>
    <w:rsid w:val="000D3318"/>
    <w:rsid w:val="000D5748"/>
    <w:rsid w:val="000D5D20"/>
    <w:rsid w:val="000F706F"/>
    <w:rsid w:val="001032D5"/>
    <w:rsid w:val="0011226A"/>
    <w:rsid w:val="001133D2"/>
    <w:rsid w:val="00125C9E"/>
    <w:rsid w:val="001624DF"/>
    <w:rsid w:val="00171485"/>
    <w:rsid w:val="00175E15"/>
    <w:rsid w:val="00184360"/>
    <w:rsid w:val="00190F9C"/>
    <w:rsid w:val="001969DC"/>
    <w:rsid w:val="001A2501"/>
    <w:rsid w:val="001A2CD7"/>
    <w:rsid w:val="001A6708"/>
    <w:rsid w:val="001B4738"/>
    <w:rsid w:val="001B512F"/>
    <w:rsid w:val="001C220E"/>
    <w:rsid w:val="001E6E49"/>
    <w:rsid w:val="001F4CDF"/>
    <w:rsid w:val="0020562B"/>
    <w:rsid w:val="00206B46"/>
    <w:rsid w:val="00210726"/>
    <w:rsid w:val="002117CF"/>
    <w:rsid w:val="00211863"/>
    <w:rsid w:val="00217A5A"/>
    <w:rsid w:val="00237271"/>
    <w:rsid w:val="0024287D"/>
    <w:rsid w:val="002479BC"/>
    <w:rsid w:val="0025656C"/>
    <w:rsid w:val="002B05DB"/>
    <w:rsid w:val="002B4EB1"/>
    <w:rsid w:val="002C7BB8"/>
    <w:rsid w:val="002D4D75"/>
    <w:rsid w:val="002D6FC2"/>
    <w:rsid w:val="002F2286"/>
    <w:rsid w:val="00301298"/>
    <w:rsid w:val="00313883"/>
    <w:rsid w:val="00346633"/>
    <w:rsid w:val="00360214"/>
    <w:rsid w:val="00361486"/>
    <w:rsid w:val="00361B03"/>
    <w:rsid w:val="00370309"/>
    <w:rsid w:val="003A5D1B"/>
    <w:rsid w:val="003A762A"/>
    <w:rsid w:val="003B0022"/>
    <w:rsid w:val="003E3199"/>
    <w:rsid w:val="003E4A3C"/>
    <w:rsid w:val="0040610E"/>
    <w:rsid w:val="00411BBA"/>
    <w:rsid w:val="00431FEE"/>
    <w:rsid w:val="00450F3D"/>
    <w:rsid w:val="004516A7"/>
    <w:rsid w:val="0046218A"/>
    <w:rsid w:val="00467A2D"/>
    <w:rsid w:val="00476DE3"/>
    <w:rsid w:val="00477140"/>
    <w:rsid w:val="00480093"/>
    <w:rsid w:val="00486FD3"/>
    <w:rsid w:val="004968FC"/>
    <w:rsid w:val="004B02EB"/>
    <w:rsid w:val="004B18BB"/>
    <w:rsid w:val="004B2AA9"/>
    <w:rsid w:val="004B5EDC"/>
    <w:rsid w:val="004B7C65"/>
    <w:rsid w:val="004C6950"/>
    <w:rsid w:val="004D128A"/>
    <w:rsid w:val="004D6FF0"/>
    <w:rsid w:val="004E2B5B"/>
    <w:rsid w:val="004F193E"/>
    <w:rsid w:val="004F1E29"/>
    <w:rsid w:val="00502935"/>
    <w:rsid w:val="00522DB9"/>
    <w:rsid w:val="0054107B"/>
    <w:rsid w:val="00564F8F"/>
    <w:rsid w:val="005848AA"/>
    <w:rsid w:val="00592272"/>
    <w:rsid w:val="00595208"/>
    <w:rsid w:val="005A388F"/>
    <w:rsid w:val="005B4253"/>
    <w:rsid w:val="005C38FE"/>
    <w:rsid w:val="005C79E4"/>
    <w:rsid w:val="005D217D"/>
    <w:rsid w:val="005E6FA8"/>
    <w:rsid w:val="005F5E8F"/>
    <w:rsid w:val="00603E78"/>
    <w:rsid w:val="006046F5"/>
    <w:rsid w:val="00610296"/>
    <w:rsid w:val="00634B3C"/>
    <w:rsid w:val="00636A61"/>
    <w:rsid w:val="006561AD"/>
    <w:rsid w:val="0066029E"/>
    <w:rsid w:val="00662123"/>
    <w:rsid w:val="00667029"/>
    <w:rsid w:val="006751B9"/>
    <w:rsid w:val="00676062"/>
    <w:rsid w:val="00685135"/>
    <w:rsid w:val="00687DC8"/>
    <w:rsid w:val="006B2ECD"/>
    <w:rsid w:val="006C4E50"/>
    <w:rsid w:val="006C561F"/>
    <w:rsid w:val="006E4A16"/>
    <w:rsid w:val="006E767C"/>
    <w:rsid w:val="006F13A8"/>
    <w:rsid w:val="006F1C88"/>
    <w:rsid w:val="006F5099"/>
    <w:rsid w:val="007109A0"/>
    <w:rsid w:val="0072317D"/>
    <w:rsid w:val="0073156E"/>
    <w:rsid w:val="00731BA4"/>
    <w:rsid w:val="007322CE"/>
    <w:rsid w:val="00737483"/>
    <w:rsid w:val="007406F0"/>
    <w:rsid w:val="007643AC"/>
    <w:rsid w:val="007714BF"/>
    <w:rsid w:val="00774E1C"/>
    <w:rsid w:val="00790CF2"/>
    <w:rsid w:val="007A3696"/>
    <w:rsid w:val="007A63F6"/>
    <w:rsid w:val="007A6912"/>
    <w:rsid w:val="007A7D30"/>
    <w:rsid w:val="007B1F0A"/>
    <w:rsid w:val="007C3F32"/>
    <w:rsid w:val="007C4E51"/>
    <w:rsid w:val="007C799A"/>
    <w:rsid w:val="007E45B2"/>
    <w:rsid w:val="007E49B3"/>
    <w:rsid w:val="007F3D05"/>
    <w:rsid w:val="00803C2B"/>
    <w:rsid w:val="00807A4A"/>
    <w:rsid w:val="00820C9C"/>
    <w:rsid w:val="00837437"/>
    <w:rsid w:val="0084728F"/>
    <w:rsid w:val="008509E8"/>
    <w:rsid w:val="008533BB"/>
    <w:rsid w:val="00864CA9"/>
    <w:rsid w:val="00872671"/>
    <w:rsid w:val="008727BA"/>
    <w:rsid w:val="00877DE7"/>
    <w:rsid w:val="008825D6"/>
    <w:rsid w:val="00893A51"/>
    <w:rsid w:val="00894856"/>
    <w:rsid w:val="00897F8D"/>
    <w:rsid w:val="008A1673"/>
    <w:rsid w:val="008A552D"/>
    <w:rsid w:val="008C7623"/>
    <w:rsid w:val="008D08C0"/>
    <w:rsid w:val="008F09F8"/>
    <w:rsid w:val="009066E4"/>
    <w:rsid w:val="009234D3"/>
    <w:rsid w:val="00934BA3"/>
    <w:rsid w:val="00937F29"/>
    <w:rsid w:val="00947103"/>
    <w:rsid w:val="0095090C"/>
    <w:rsid w:val="00972DEA"/>
    <w:rsid w:val="00974088"/>
    <w:rsid w:val="00977DE4"/>
    <w:rsid w:val="00984E77"/>
    <w:rsid w:val="009B235B"/>
    <w:rsid w:val="009B2AA7"/>
    <w:rsid w:val="009B3D92"/>
    <w:rsid w:val="009C5113"/>
    <w:rsid w:val="009D7AE4"/>
    <w:rsid w:val="009E461D"/>
    <w:rsid w:val="009E7341"/>
    <w:rsid w:val="009F62AA"/>
    <w:rsid w:val="00A161D1"/>
    <w:rsid w:val="00A22CDD"/>
    <w:rsid w:val="00A27815"/>
    <w:rsid w:val="00A375D7"/>
    <w:rsid w:val="00A40584"/>
    <w:rsid w:val="00A47F18"/>
    <w:rsid w:val="00A505D4"/>
    <w:rsid w:val="00A54AB0"/>
    <w:rsid w:val="00A71242"/>
    <w:rsid w:val="00A76768"/>
    <w:rsid w:val="00A80EC2"/>
    <w:rsid w:val="00A84BAE"/>
    <w:rsid w:val="00AA0EE1"/>
    <w:rsid w:val="00AB5730"/>
    <w:rsid w:val="00AC09AE"/>
    <w:rsid w:val="00AD3B32"/>
    <w:rsid w:val="00AE35CF"/>
    <w:rsid w:val="00AF1A69"/>
    <w:rsid w:val="00B01687"/>
    <w:rsid w:val="00B042EB"/>
    <w:rsid w:val="00B06304"/>
    <w:rsid w:val="00B13CA5"/>
    <w:rsid w:val="00B41180"/>
    <w:rsid w:val="00B51AFA"/>
    <w:rsid w:val="00B66717"/>
    <w:rsid w:val="00B667B3"/>
    <w:rsid w:val="00B844FE"/>
    <w:rsid w:val="00B946C9"/>
    <w:rsid w:val="00BC5911"/>
    <w:rsid w:val="00BC7226"/>
    <w:rsid w:val="00BD5999"/>
    <w:rsid w:val="00BE169F"/>
    <w:rsid w:val="00BE4B23"/>
    <w:rsid w:val="00C210C2"/>
    <w:rsid w:val="00C21743"/>
    <w:rsid w:val="00C31735"/>
    <w:rsid w:val="00C5665D"/>
    <w:rsid w:val="00C613E9"/>
    <w:rsid w:val="00C618EB"/>
    <w:rsid w:val="00C8392F"/>
    <w:rsid w:val="00C90FD0"/>
    <w:rsid w:val="00C938F0"/>
    <w:rsid w:val="00C952DC"/>
    <w:rsid w:val="00CA28EC"/>
    <w:rsid w:val="00CC1ED6"/>
    <w:rsid w:val="00CD081D"/>
    <w:rsid w:val="00CD146E"/>
    <w:rsid w:val="00CD26B2"/>
    <w:rsid w:val="00CD4291"/>
    <w:rsid w:val="00CE430E"/>
    <w:rsid w:val="00CF368B"/>
    <w:rsid w:val="00CF7D17"/>
    <w:rsid w:val="00D04B85"/>
    <w:rsid w:val="00D16F45"/>
    <w:rsid w:val="00D32CD8"/>
    <w:rsid w:val="00D67ED2"/>
    <w:rsid w:val="00D732F3"/>
    <w:rsid w:val="00D80FE6"/>
    <w:rsid w:val="00D8216E"/>
    <w:rsid w:val="00D82D7C"/>
    <w:rsid w:val="00D86E33"/>
    <w:rsid w:val="00D943EA"/>
    <w:rsid w:val="00DB2AFC"/>
    <w:rsid w:val="00DB3287"/>
    <w:rsid w:val="00DC6B72"/>
    <w:rsid w:val="00DD0AAE"/>
    <w:rsid w:val="00DD1BD3"/>
    <w:rsid w:val="00DE27BD"/>
    <w:rsid w:val="00DE46ED"/>
    <w:rsid w:val="00DF06CB"/>
    <w:rsid w:val="00DF45A4"/>
    <w:rsid w:val="00E01604"/>
    <w:rsid w:val="00E274A1"/>
    <w:rsid w:val="00E34F6C"/>
    <w:rsid w:val="00E53A7C"/>
    <w:rsid w:val="00E54570"/>
    <w:rsid w:val="00E6110B"/>
    <w:rsid w:val="00E64306"/>
    <w:rsid w:val="00E757AB"/>
    <w:rsid w:val="00E75D23"/>
    <w:rsid w:val="00E803A4"/>
    <w:rsid w:val="00E9121A"/>
    <w:rsid w:val="00E933C6"/>
    <w:rsid w:val="00E934F1"/>
    <w:rsid w:val="00EC2FD6"/>
    <w:rsid w:val="00EC57E8"/>
    <w:rsid w:val="00ED2D34"/>
    <w:rsid w:val="00EE193D"/>
    <w:rsid w:val="00EF02AF"/>
    <w:rsid w:val="00EF02C3"/>
    <w:rsid w:val="00EF6041"/>
    <w:rsid w:val="00F01656"/>
    <w:rsid w:val="00F15BD5"/>
    <w:rsid w:val="00F3730F"/>
    <w:rsid w:val="00F37C84"/>
    <w:rsid w:val="00F5396B"/>
    <w:rsid w:val="00F55C8A"/>
    <w:rsid w:val="00F63AA4"/>
    <w:rsid w:val="00F70231"/>
    <w:rsid w:val="00F80935"/>
    <w:rsid w:val="00F81A2E"/>
    <w:rsid w:val="00F87DBF"/>
    <w:rsid w:val="00F927C2"/>
    <w:rsid w:val="00F92E2A"/>
    <w:rsid w:val="00FA0DF7"/>
    <w:rsid w:val="00FA712F"/>
    <w:rsid w:val="00FB5357"/>
    <w:rsid w:val="00FC4AFE"/>
    <w:rsid w:val="00FD030A"/>
    <w:rsid w:val="00FE013D"/>
    <w:rsid w:val="00FE07DB"/>
    <w:rsid w:val="00FF364F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uiPriority w:val="1"/>
    <w:qFormat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uiPriority w:val="9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E767C"/>
    <w:rPr>
      <w:rFonts w:cs="Times New Roman"/>
      <w:color w:val="0B54AD"/>
      <w:u w:val="single"/>
    </w:rPr>
  </w:style>
  <w:style w:type="paragraph" w:customStyle="1" w:styleId="ConsPlusNormal">
    <w:name w:val="ConsPlusNormal"/>
    <w:rsid w:val="006E76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Balloon Text"/>
    <w:basedOn w:val="a"/>
    <w:link w:val="ad"/>
    <w:semiHidden/>
    <w:unhideWhenUsed/>
    <w:rsid w:val="00894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9485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AE35C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1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93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uiPriority w:val="1"/>
    <w:qFormat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uiPriority w:val="9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E767C"/>
    <w:rPr>
      <w:rFonts w:cs="Times New Roman"/>
      <w:color w:val="0B54AD"/>
      <w:u w:val="single"/>
    </w:rPr>
  </w:style>
  <w:style w:type="paragraph" w:customStyle="1" w:styleId="ConsPlusNormal">
    <w:name w:val="ConsPlusNormal"/>
    <w:rsid w:val="006E76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Balloon Text"/>
    <w:basedOn w:val="a"/>
    <w:link w:val="ad"/>
    <w:semiHidden/>
    <w:unhideWhenUsed/>
    <w:rsid w:val="00894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9485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AE35C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1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93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611A1-7432-422A-8533-FB21060A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SSA</cp:lastModifiedBy>
  <cp:revision>17</cp:revision>
  <cp:lastPrinted>2011-07-14T05:56:00Z</cp:lastPrinted>
  <dcterms:created xsi:type="dcterms:W3CDTF">2025-10-09T12:34:00Z</dcterms:created>
  <dcterms:modified xsi:type="dcterms:W3CDTF">2026-04-14T09:19:00Z</dcterms:modified>
</cp:coreProperties>
</file>