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FE" w:rsidRPr="00133EC1" w:rsidRDefault="0018499B" w:rsidP="00345BFE">
      <w:pPr>
        <w:spacing w:after="0" w:line="240" w:lineRule="auto"/>
        <w:jc w:val="right"/>
        <w:rPr>
          <w:szCs w:val="28"/>
        </w:rPr>
      </w:pPr>
      <w:r>
        <w:t xml:space="preserve"> </w:t>
      </w:r>
      <w:r w:rsidR="00345BFE" w:rsidRPr="00133EC1">
        <w:rPr>
          <w:szCs w:val="28"/>
        </w:rPr>
        <w:t>Утвержден </w:t>
      </w:r>
      <w:r w:rsidR="00345BFE" w:rsidRPr="00133EC1">
        <w:rPr>
          <w:szCs w:val="28"/>
        </w:rPr>
        <w:br/>
        <w:t>приказом Контрольно-ревизионной</w:t>
      </w:r>
    </w:p>
    <w:p w:rsidR="00345BFE" w:rsidRPr="00133EC1" w:rsidRDefault="00345BFE" w:rsidP="00345BFE">
      <w:pPr>
        <w:spacing w:after="0" w:line="240" w:lineRule="auto"/>
        <w:jc w:val="right"/>
        <w:rPr>
          <w:szCs w:val="28"/>
        </w:rPr>
      </w:pPr>
      <w:r w:rsidRPr="00133EC1">
        <w:rPr>
          <w:szCs w:val="28"/>
        </w:rPr>
        <w:t xml:space="preserve"> комиссии муниципального образования</w:t>
      </w:r>
    </w:p>
    <w:p w:rsidR="00345BFE" w:rsidRDefault="00345BFE" w:rsidP="00345BFE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 «Глинковский</w:t>
      </w:r>
      <w:r w:rsidRPr="00133EC1">
        <w:rPr>
          <w:szCs w:val="28"/>
        </w:rPr>
        <w:t xml:space="preserve"> район» Смоленской области </w:t>
      </w:r>
      <w:r w:rsidRPr="00133EC1">
        <w:rPr>
          <w:szCs w:val="28"/>
        </w:rPr>
        <w:br/>
        <w:t>от «</w:t>
      </w:r>
      <w:r w:rsidR="00EA4D4A">
        <w:rPr>
          <w:szCs w:val="28"/>
        </w:rPr>
        <w:t xml:space="preserve"> 20</w:t>
      </w:r>
      <w:r>
        <w:rPr>
          <w:szCs w:val="28"/>
        </w:rPr>
        <w:t xml:space="preserve"> </w:t>
      </w:r>
      <w:r w:rsidRPr="00133EC1">
        <w:rPr>
          <w:szCs w:val="28"/>
        </w:rPr>
        <w:t>»</w:t>
      </w:r>
      <w:r>
        <w:rPr>
          <w:szCs w:val="28"/>
        </w:rPr>
        <w:t xml:space="preserve"> </w:t>
      </w:r>
      <w:r w:rsidR="00EA4D4A">
        <w:rPr>
          <w:szCs w:val="28"/>
        </w:rPr>
        <w:t>дека</w:t>
      </w:r>
      <w:r>
        <w:rPr>
          <w:szCs w:val="28"/>
        </w:rPr>
        <w:t xml:space="preserve">бря 2021 </w:t>
      </w:r>
      <w:r w:rsidRPr="00133EC1">
        <w:rPr>
          <w:szCs w:val="28"/>
        </w:rPr>
        <w:t xml:space="preserve"> года</w:t>
      </w:r>
      <w:r>
        <w:rPr>
          <w:szCs w:val="28"/>
        </w:rPr>
        <w:t xml:space="preserve"> № 1</w:t>
      </w:r>
      <w:r w:rsidR="00EA4D4A">
        <w:rPr>
          <w:szCs w:val="28"/>
        </w:rPr>
        <w:t>8</w:t>
      </w:r>
      <w:r>
        <w:rPr>
          <w:szCs w:val="28"/>
        </w:rPr>
        <w:t xml:space="preserve"> </w:t>
      </w:r>
    </w:p>
    <w:p w:rsidR="00345BFE" w:rsidRDefault="00345BFE" w:rsidP="00345BFE">
      <w:pPr>
        <w:spacing w:after="0" w:line="240" w:lineRule="auto"/>
        <w:jc w:val="right"/>
        <w:rPr>
          <w:szCs w:val="28"/>
        </w:rPr>
      </w:pPr>
    </w:p>
    <w:p w:rsidR="00345BFE" w:rsidRDefault="00345BFE" w:rsidP="00345BFE">
      <w:pPr>
        <w:spacing w:after="0" w:line="240" w:lineRule="auto"/>
        <w:jc w:val="right"/>
        <w:rPr>
          <w:szCs w:val="28"/>
        </w:rPr>
      </w:pPr>
    </w:p>
    <w:p w:rsidR="00345BFE" w:rsidRDefault="00345BFE" w:rsidP="00345BFE">
      <w:pPr>
        <w:pStyle w:val="Standard"/>
        <w:ind w:right="142"/>
        <w:jc w:val="center"/>
        <w:rPr>
          <w:b/>
          <w:bCs/>
          <w:sz w:val="28"/>
          <w:szCs w:val="28"/>
        </w:rPr>
      </w:pPr>
      <w:r>
        <w:rPr>
          <w:noProof/>
          <w:szCs w:val="28"/>
          <w:lang w:eastAsia="ru-RU" w:bidi="ar-SA"/>
        </w:rPr>
        <w:drawing>
          <wp:inline distT="0" distB="0" distL="0" distR="0">
            <wp:extent cx="7429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BFE" w:rsidRDefault="00345BFE" w:rsidP="00345BF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КОНТРОЛЬНО-РЕВИЗИОННАЯ КОМИССИЯ </w:t>
      </w:r>
    </w:p>
    <w:p w:rsidR="00345BFE" w:rsidRDefault="00345BFE" w:rsidP="00345BF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«ГЛИНКОВСКИЙ РАЙОН» СМОЛЕНСКОЙ ОБЛАСТИ</w:t>
      </w:r>
    </w:p>
    <w:p w:rsidR="00030A0A" w:rsidRDefault="0018499B" w:rsidP="00345BFE">
      <w:pPr>
        <w:spacing w:after="0" w:line="259" w:lineRule="auto"/>
        <w:ind w:firstLine="0"/>
        <w:jc w:val="center"/>
      </w:pPr>
      <w:r>
        <w:t xml:space="preserve">     </w:t>
      </w:r>
    </w:p>
    <w:p w:rsidR="00030A0A" w:rsidRDefault="00030A0A">
      <w:pPr>
        <w:spacing w:after="0" w:line="259" w:lineRule="auto"/>
        <w:ind w:left="757" w:firstLine="0"/>
        <w:jc w:val="center"/>
      </w:pPr>
    </w:p>
    <w:p w:rsidR="00345BFE" w:rsidRDefault="00345BFE">
      <w:pPr>
        <w:spacing w:after="0" w:line="259" w:lineRule="auto"/>
        <w:ind w:left="757" w:firstLine="0"/>
        <w:jc w:val="center"/>
      </w:pPr>
    </w:p>
    <w:p w:rsidR="00345BFE" w:rsidRDefault="00345BFE">
      <w:pPr>
        <w:spacing w:after="0" w:line="259" w:lineRule="auto"/>
        <w:ind w:left="757" w:firstLine="0"/>
        <w:jc w:val="center"/>
      </w:pPr>
    </w:p>
    <w:p w:rsidR="00345BFE" w:rsidRDefault="00345BFE">
      <w:pPr>
        <w:spacing w:after="0" w:line="259" w:lineRule="auto"/>
        <w:ind w:left="757" w:firstLine="0"/>
        <w:jc w:val="center"/>
      </w:pPr>
    </w:p>
    <w:p w:rsidR="00345BFE" w:rsidRDefault="00345BFE">
      <w:pPr>
        <w:spacing w:after="0" w:line="259" w:lineRule="auto"/>
        <w:ind w:left="757" w:firstLine="0"/>
        <w:jc w:val="center"/>
      </w:pPr>
    </w:p>
    <w:p w:rsidR="00345BFE" w:rsidRDefault="00345BFE">
      <w:pPr>
        <w:spacing w:after="0" w:line="259" w:lineRule="auto"/>
        <w:ind w:left="757" w:firstLine="0"/>
        <w:jc w:val="center"/>
      </w:pPr>
    </w:p>
    <w:p w:rsidR="00030A0A" w:rsidRDefault="00030A0A">
      <w:pPr>
        <w:spacing w:after="16" w:line="259" w:lineRule="auto"/>
        <w:ind w:left="757" w:firstLine="0"/>
        <w:jc w:val="center"/>
      </w:pPr>
    </w:p>
    <w:p w:rsidR="00030A0A" w:rsidRDefault="0018499B" w:rsidP="00345BFE">
      <w:pPr>
        <w:spacing w:after="13" w:line="248" w:lineRule="auto"/>
        <w:ind w:left="2314" w:hanging="10"/>
        <w:jc w:val="left"/>
        <w:rPr>
          <w:b/>
        </w:rPr>
      </w:pPr>
      <w:r>
        <w:rPr>
          <w:b/>
        </w:rPr>
        <w:t>СТАНДАРТ ОРГАНИЗАЦИИ ДЕЯТЕЛЬНОСТИ</w:t>
      </w:r>
    </w:p>
    <w:p w:rsidR="00AA5152" w:rsidRDefault="00AA5152" w:rsidP="00345BFE">
      <w:pPr>
        <w:spacing w:after="13" w:line="248" w:lineRule="auto"/>
        <w:ind w:left="2314" w:hanging="10"/>
        <w:jc w:val="left"/>
      </w:pPr>
    </w:p>
    <w:p w:rsidR="00030A0A" w:rsidRPr="00AA5152" w:rsidRDefault="00AA5152" w:rsidP="00AA5152">
      <w:pPr>
        <w:spacing w:after="13" w:line="248" w:lineRule="auto"/>
        <w:ind w:left="5030" w:right="3846" w:firstLine="422"/>
        <w:jc w:val="left"/>
        <w:rPr>
          <w:b/>
        </w:rPr>
      </w:pPr>
      <w:r w:rsidRPr="00AA5152">
        <w:rPr>
          <w:b/>
        </w:rPr>
        <w:t>СОД-2</w:t>
      </w:r>
    </w:p>
    <w:p w:rsidR="00030A0A" w:rsidRDefault="0018499B" w:rsidP="00345BFE">
      <w:pPr>
        <w:spacing w:after="3" w:line="259" w:lineRule="auto"/>
        <w:ind w:left="713" w:right="1" w:hanging="10"/>
        <w:jc w:val="center"/>
      </w:pPr>
      <w:r>
        <w:rPr>
          <w:b/>
        </w:rPr>
        <w:t>«Подготовка отчета о деятельности</w:t>
      </w:r>
    </w:p>
    <w:p w:rsidR="00030A0A" w:rsidRDefault="0018499B" w:rsidP="00345BFE">
      <w:pPr>
        <w:pStyle w:val="2"/>
        <w:ind w:left="1244"/>
        <w:jc w:val="center"/>
      </w:pPr>
      <w:r>
        <w:t>Контрольно-ревизионной комиссии муниципального образования</w:t>
      </w:r>
    </w:p>
    <w:p w:rsidR="00030A0A" w:rsidRDefault="0018499B" w:rsidP="00345BFE">
      <w:pPr>
        <w:spacing w:after="3" w:line="259" w:lineRule="auto"/>
        <w:ind w:left="713" w:right="717" w:hanging="10"/>
        <w:jc w:val="center"/>
      </w:pPr>
      <w:r>
        <w:rPr>
          <w:b/>
        </w:rPr>
        <w:t>«</w:t>
      </w:r>
      <w:r w:rsidR="000D34A0">
        <w:rPr>
          <w:b/>
        </w:rPr>
        <w:t>Глинковский</w:t>
      </w:r>
      <w:r>
        <w:rPr>
          <w:b/>
        </w:rPr>
        <w:t xml:space="preserve"> район» Смоленской области»</w:t>
      </w:r>
    </w:p>
    <w:p w:rsidR="00030A0A" w:rsidRDefault="0018499B" w:rsidP="00345BFE">
      <w:pPr>
        <w:spacing w:after="0" w:line="259" w:lineRule="auto"/>
        <w:ind w:left="2299" w:firstLine="0"/>
        <w:jc w:val="left"/>
      </w:pPr>
      <w:r>
        <w:rPr>
          <w:sz w:val="24"/>
        </w:rPr>
        <w:t>(стандарт подлежит применению с 01.01.20</w:t>
      </w:r>
      <w:r w:rsidR="000D34A0">
        <w:rPr>
          <w:sz w:val="24"/>
        </w:rPr>
        <w:t>22</w:t>
      </w:r>
      <w:r>
        <w:rPr>
          <w:sz w:val="24"/>
        </w:rPr>
        <w:t xml:space="preserve"> до его отмены)</w:t>
      </w:r>
    </w:p>
    <w:p w:rsidR="00030A0A" w:rsidRDefault="00030A0A">
      <w:pPr>
        <w:spacing w:after="12" w:line="259" w:lineRule="auto"/>
        <w:ind w:left="757" w:firstLine="0"/>
        <w:jc w:val="center"/>
      </w:pPr>
    </w:p>
    <w:p w:rsidR="00030A0A" w:rsidRDefault="00030A0A">
      <w:pPr>
        <w:spacing w:after="0" w:line="259" w:lineRule="auto"/>
        <w:ind w:left="0" w:firstLine="0"/>
        <w:jc w:val="left"/>
      </w:pPr>
    </w:p>
    <w:p w:rsidR="00030A0A" w:rsidRDefault="00030A0A">
      <w:pPr>
        <w:spacing w:after="0" w:line="259" w:lineRule="auto"/>
        <w:ind w:left="0" w:firstLine="0"/>
        <w:jc w:val="left"/>
      </w:pPr>
    </w:p>
    <w:p w:rsidR="00345BFE" w:rsidRDefault="00345BFE">
      <w:pPr>
        <w:spacing w:after="0" w:line="259" w:lineRule="auto"/>
        <w:ind w:left="0" w:firstLine="0"/>
        <w:jc w:val="left"/>
      </w:pPr>
    </w:p>
    <w:p w:rsidR="00345BFE" w:rsidRDefault="00345BFE">
      <w:pPr>
        <w:spacing w:after="0" w:line="259" w:lineRule="auto"/>
        <w:ind w:left="0" w:firstLine="0"/>
        <w:jc w:val="left"/>
      </w:pPr>
    </w:p>
    <w:p w:rsidR="00030A0A" w:rsidRDefault="00030A0A">
      <w:pPr>
        <w:spacing w:after="0" w:line="259" w:lineRule="auto"/>
        <w:ind w:left="0" w:firstLine="0"/>
        <w:jc w:val="left"/>
      </w:pPr>
    </w:p>
    <w:p w:rsidR="00030A0A" w:rsidRDefault="00345BFE">
      <w:pPr>
        <w:spacing w:after="3" w:line="259" w:lineRule="auto"/>
        <w:ind w:left="713" w:right="717" w:hanging="10"/>
        <w:jc w:val="center"/>
      </w:pPr>
      <w:r>
        <w:rPr>
          <w:b/>
        </w:rPr>
        <w:t>с.Глинка</w:t>
      </w:r>
    </w:p>
    <w:p w:rsidR="00030A0A" w:rsidRDefault="0018499B">
      <w:pPr>
        <w:spacing w:after="3" w:line="259" w:lineRule="auto"/>
        <w:ind w:left="713" w:right="711" w:hanging="10"/>
        <w:jc w:val="center"/>
        <w:rPr>
          <w:b/>
        </w:rPr>
      </w:pPr>
      <w:r>
        <w:rPr>
          <w:b/>
        </w:rPr>
        <w:t>20</w:t>
      </w:r>
      <w:r w:rsidR="00345BFE">
        <w:rPr>
          <w:b/>
        </w:rPr>
        <w:t>2</w:t>
      </w:r>
      <w:r>
        <w:rPr>
          <w:b/>
        </w:rPr>
        <w:t xml:space="preserve">1 год </w:t>
      </w:r>
    </w:p>
    <w:p w:rsidR="00345BFE" w:rsidRDefault="00345BFE">
      <w:pPr>
        <w:spacing w:after="3" w:line="259" w:lineRule="auto"/>
        <w:ind w:left="713" w:right="711" w:hanging="10"/>
        <w:jc w:val="center"/>
      </w:pPr>
    </w:p>
    <w:p w:rsidR="005E2BA9" w:rsidRDefault="005E2BA9">
      <w:pPr>
        <w:spacing w:after="3" w:line="259" w:lineRule="auto"/>
        <w:ind w:left="713" w:right="711" w:hanging="10"/>
        <w:jc w:val="center"/>
      </w:pPr>
    </w:p>
    <w:p w:rsidR="005E2BA9" w:rsidRDefault="005E2BA9">
      <w:pPr>
        <w:spacing w:after="3" w:line="259" w:lineRule="auto"/>
        <w:ind w:left="713" w:right="711" w:hanging="10"/>
        <w:jc w:val="center"/>
      </w:pPr>
    </w:p>
    <w:p w:rsidR="005E2BA9" w:rsidRDefault="005E2BA9">
      <w:pPr>
        <w:spacing w:after="3" w:line="259" w:lineRule="auto"/>
        <w:ind w:left="713" w:right="711" w:hanging="10"/>
        <w:jc w:val="center"/>
      </w:pPr>
    </w:p>
    <w:p w:rsidR="00AA5152" w:rsidRDefault="00AA5152">
      <w:pPr>
        <w:spacing w:after="3" w:line="259" w:lineRule="auto"/>
        <w:ind w:left="713" w:right="711" w:hanging="10"/>
        <w:jc w:val="center"/>
      </w:pPr>
    </w:p>
    <w:p w:rsidR="00EA4D4A" w:rsidRDefault="00EA4D4A">
      <w:pPr>
        <w:spacing w:after="3" w:line="259" w:lineRule="auto"/>
        <w:ind w:left="713" w:right="711" w:hanging="10"/>
        <w:jc w:val="center"/>
      </w:pPr>
    </w:p>
    <w:p w:rsidR="00030A0A" w:rsidRDefault="0018499B">
      <w:pPr>
        <w:spacing w:after="98" w:line="259" w:lineRule="auto"/>
        <w:ind w:left="713" w:right="713" w:hanging="10"/>
        <w:jc w:val="center"/>
      </w:pPr>
      <w:r>
        <w:rPr>
          <w:b/>
        </w:rPr>
        <w:t xml:space="preserve">Содержание </w:t>
      </w:r>
    </w:p>
    <w:p w:rsidR="00030A0A" w:rsidRDefault="00030A0A">
      <w:pPr>
        <w:spacing w:after="0" w:line="259" w:lineRule="auto"/>
        <w:ind w:left="710" w:firstLine="0"/>
        <w:jc w:val="left"/>
      </w:pPr>
    </w:p>
    <w:p w:rsidR="00030A0A" w:rsidRDefault="00030A0A">
      <w:pPr>
        <w:spacing w:after="12" w:line="259" w:lineRule="auto"/>
        <w:ind w:left="710" w:firstLine="0"/>
        <w:jc w:val="left"/>
      </w:pPr>
    </w:p>
    <w:sdt>
      <w:sdtPr>
        <w:id w:val="898551001"/>
        <w:docPartObj>
          <w:docPartGallery w:val="Table of Contents"/>
        </w:docPartObj>
      </w:sdtPr>
      <w:sdtContent>
        <w:p w:rsidR="00030A0A" w:rsidRDefault="00874F7A">
          <w:pPr>
            <w:pStyle w:val="11"/>
            <w:tabs>
              <w:tab w:val="right" w:leader="dot" w:pos="10208"/>
            </w:tabs>
          </w:pPr>
          <w:r>
            <w:fldChar w:fldCharType="begin"/>
          </w:r>
          <w:r w:rsidR="0018499B">
            <w:instrText xml:space="preserve"> TOC \o "1-1" \h \z \u </w:instrText>
          </w:r>
          <w:r>
            <w:fldChar w:fldCharType="separate"/>
          </w:r>
          <w:hyperlink w:anchor="_Toc5713">
            <w:r w:rsidR="0018499B">
              <w:t>1. Общие положения</w:t>
            </w:r>
            <w:r w:rsidR="0018499B">
              <w:tab/>
            </w:r>
            <w:r>
              <w:fldChar w:fldCharType="begin"/>
            </w:r>
            <w:r w:rsidR="0018499B">
              <w:instrText>PAGEREF _Toc5713 \h</w:instrText>
            </w:r>
            <w:r>
              <w:fldChar w:fldCharType="separate"/>
            </w:r>
            <w:r w:rsidR="00582C1A">
              <w:rPr>
                <w:noProof/>
              </w:rPr>
              <w:t>3</w:t>
            </w:r>
            <w:r>
              <w:fldChar w:fldCharType="end"/>
            </w:r>
          </w:hyperlink>
        </w:p>
        <w:p w:rsidR="00030A0A" w:rsidRDefault="00874F7A">
          <w:pPr>
            <w:pStyle w:val="11"/>
            <w:tabs>
              <w:tab w:val="right" w:leader="dot" w:pos="10208"/>
            </w:tabs>
          </w:pPr>
          <w:hyperlink w:anchor="_Toc5714">
            <w:r w:rsidR="0018499B">
              <w:t>2. Цель, задачи и принципы формирования годового отчета</w:t>
            </w:r>
            <w:r w:rsidR="0018499B">
              <w:tab/>
            </w:r>
            <w:r>
              <w:fldChar w:fldCharType="begin"/>
            </w:r>
            <w:r w:rsidR="0018499B">
              <w:instrText>PAGEREF _Toc5714 \h</w:instrText>
            </w:r>
            <w:r>
              <w:fldChar w:fldCharType="separate"/>
            </w:r>
            <w:r w:rsidR="00582C1A">
              <w:rPr>
                <w:noProof/>
              </w:rPr>
              <w:t>3</w:t>
            </w:r>
            <w:r>
              <w:fldChar w:fldCharType="end"/>
            </w:r>
          </w:hyperlink>
        </w:p>
        <w:p w:rsidR="00030A0A" w:rsidRDefault="00874F7A">
          <w:pPr>
            <w:pStyle w:val="11"/>
            <w:tabs>
              <w:tab w:val="right" w:leader="dot" w:pos="10208"/>
            </w:tabs>
          </w:pPr>
          <w:hyperlink w:anchor="_Toc5715">
            <w:r w:rsidR="0018499B">
              <w:t>3. Требования к содержанию годового отчета</w:t>
            </w:r>
            <w:r w:rsidR="0018499B">
              <w:tab/>
            </w:r>
            <w:r>
              <w:fldChar w:fldCharType="begin"/>
            </w:r>
            <w:r w:rsidR="0018499B">
              <w:instrText>PAGEREF _Toc5715 \h</w:instrText>
            </w:r>
            <w:r>
              <w:fldChar w:fldCharType="separate"/>
            </w:r>
            <w:r w:rsidR="00582C1A">
              <w:rPr>
                <w:noProof/>
              </w:rPr>
              <w:t>4</w:t>
            </w:r>
            <w:r>
              <w:fldChar w:fldCharType="end"/>
            </w:r>
          </w:hyperlink>
        </w:p>
        <w:p w:rsidR="00030A0A" w:rsidRDefault="00874F7A">
          <w:pPr>
            <w:pStyle w:val="11"/>
            <w:tabs>
              <w:tab w:val="right" w:leader="dot" w:pos="10208"/>
            </w:tabs>
          </w:pPr>
          <w:hyperlink w:anchor="_Toc5716">
            <w:r w:rsidR="0018499B">
              <w:t>4. Формирование и утверждение годового отчета</w:t>
            </w:r>
            <w:r w:rsidR="0018499B">
              <w:tab/>
            </w:r>
            <w:r>
              <w:fldChar w:fldCharType="begin"/>
            </w:r>
            <w:r w:rsidR="0018499B">
              <w:instrText>PAGEREF _Toc5716 \h</w:instrText>
            </w:r>
            <w:r>
              <w:fldChar w:fldCharType="separate"/>
            </w:r>
            <w:r w:rsidR="00582C1A">
              <w:rPr>
                <w:noProof/>
              </w:rPr>
              <w:t>5</w:t>
            </w:r>
            <w:r>
              <w:fldChar w:fldCharType="end"/>
            </w:r>
          </w:hyperlink>
        </w:p>
        <w:p w:rsidR="00030A0A" w:rsidRDefault="00874F7A">
          <w:pPr>
            <w:pStyle w:val="11"/>
            <w:tabs>
              <w:tab w:val="right" w:leader="dot" w:pos="10208"/>
            </w:tabs>
          </w:pPr>
          <w:hyperlink w:anchor="_Toc5717">
            <w:r w:rsidR="0018499B">
              <w:t>5. Правила формирования годового отчета</w:t>
            </w:r>
            <w:r w:rsidR="0018499B">
              <w:tab/>
            </w:r>
            <w:r>
              <w:fldChar w:fldCharType="begin"/>
            </w:r>
            <w:r w:rsidR="0018499B">
              <w:instrText>PAGEREF _Toc5717 \h</w:instrText>
            </w:r>
            <w:r>
              <w:fldChar w:fldCharType="separate"/>
            </w:r>
            <w:r w:rsidR="00582C1A">
              <w:rPr>
                <w:noProof/>
              </w:rPr>
              <w:t>5</w:t>
            </w:r>
            <w:r>
              <w:fldChar w:fldCharType="end"/>
            </w:r>
          </w:hyperlink>
        </w:p>
        <w:p w:rsidR="00030A0A" w:rsidRDefault="00874F7A">
          <w:r>
            <w:fldChar w:fldCharType="end"/>
          </w:r>
        </w:p>
      </w:sdtContent>
    </w:sdt>
    <w:p w:rsidR="00030A0A" w:rsidRDefault="00030A0A">
      <w:pPr>
        <w:spacing w:after="0" w:line="361" w:lineRule="auto"/>
        <w:ind w:left="0" w:right="10139" w:firstLine="0"/>
        <w:jc w:val="left"/>
      </w:pPr>
    </w:p>
    <w:p w:rsidR="00030A0A" w:rsidRDefault="00030A0A">
      <w:pPr>
        <w:spacing w:after="0" w:line="361" w:lineRule="auto"/>
        <w:ind w:left="0" w:right="10139" w:firstLine="0"/>
        <w:jc w:val="left"/>
      </w:pPr>
    </w:p>
    <w:p w:rsidR="00030A0A" w:rsidRDefault="00030A0A">
      <w:pPr>
        <w:spacing w:after="0" w:line="361" w:lineRule="auto"/>
        <w:ind w:left="0" w:right="10139" w:firstLine="0"/>
        <w:jc w:val="left"/>
      </w:pPr>
    </w:p>
    <w:p w:rsidR="00030A0A" w:rsidRDefault="00030A0A">
      <w:pPr>
        <w:spacing w:after="0" w:line="361" w:lineRule="auto"/>
        <w:ind w:left="0" w:right="10139" w:firstLine="0"/>
        <w:jc w:val="left"/>
      </w:pPr>
    </w:p>
    <w:p w:rsidR="00030A0A" w:rsidRDefault="00030A0A">
      <w:pPr>
        <w:spacing w:after="0" w:line="361" w:lineRule="auto"/>
        <w:ind w:left="0" w:right="10139" w:firstLine="0"/>
        <w:jc w:val="left"/>
      </w:pPr>
    </w:p>
    <w:p w:rsidR="000D34A0" w:rsidRDefault="000D34A0">
      <w:pPr>
        <w:spacing w:after="0" w:line="361" w:lineRule="auto"/>
        <w:ind w:left="0" w:right="10139" w:firstLine="0"/>
        <w:jc w:val="left"/>
      </w:pPr>
    </w:p>
    <w:p w:rsidR="000D34A0" w:rsidRDefault="000D34A0">
      <w:pPr>
        <w:spacing w:after="0" w:line="361" w:lineRule="auto"/>
        <w:ind w:left="0" w:right="10139" w:firstLine="0"/>
        <w:jc w:val="left"/>
      </w:pPr>
    </w:p>
    <w:p w:rsidR="000D34A0" w:rsidRDefault="000D34A0">
      <w:pPr>
        <w:spacing w:after="0" w:line="361" w:lineRule="auto"/>
        <w:ind w:left="0" w:right="10139" w:firstLine="0"/>
        <w:jc w:val="left"/>
      </w:pPr>
    </w:p>
    <w:p w:rsidR="000D34A0" w:rsidRDefault="000D34A0">
      <w:pPr>
        <w:spacing w:after="0" w:line="361" w:lineRule="auto"/>
        <w:ind w:left="0" w:right="10139" w:firstLine="0"/>
        <w:jc w:val="left"/>
      </w:pPr>
    </w:p>
    <w:p w:rsidR="00030A0A" w:rsidRDefault="00030A0A">
      <w:pPr>
        <w:spacing w:after="0" w:line="361" w:lineRule="auto"/>
        <w:ind w:left="0" w:right="10139" w:firstLine="0"/>
        <w:jc w:val="left"/>
      </w:pPr>
    </w:p>
    <w:p w:rsidR="00030A0A" w:rsidRDefault="00030A0A">
      <w:pPr>
        <w:spacing w:after="0" w:line="361" w:lineRule="auto"/>
        <w:ind w:left="0" w:right="10139" w:firstLine="0"/>
        <w:jc w:val="left"/>
      </w:pPr>
    </w:p>
    <w:p w:rsidR="000D34A0" w:rsidRDefault="000D34A0">
      <w:pPr>
        <w:spacing w:after="0" w:line="361" w:lineRule="auto"/>
        <w:ind w:left="0" w:right="10139" w:firstLine="0"/>
        <w:jc w:val="left"/>
      </w:pPr>
    </w:p>
    <w:p w:rsidR="000D34A0" w:rsidRDefault="000D34A0">
      <w:pPr>
        <w:spacing w:after="0" w:line="361" w:lineRule="auto"/>
        <w:ind w:left="0" w:right="10139" w:firstLine="0"/>
        <w:jc w:val="left"/>
      </w:pPr>
    </w:p>
    <w:p w:rsidR="000D34A0" w:rsidRDefault="000D34A0">
      <w:pPr>
        <w:spacing w:after="0" w:line="361" w:lineRule="auto"/>
        <w:ind w:left="0" w:right="10139" w:firstLine="0"/>
        <w:jc w:val="left"/>
      </w:pPr>
    </w:p>
    <w:p w:rsidR="000D34A0" w:rsidRDefault="000D34A0">
      <w:pPr>
        <w:spacing w:after="0" w:line="361" w:lineRule="auto"/>
        <w:ind w:left="0" w:right="10139" w:firstLine="0"/>
        <w:jc w:val="left"/>
      </w:pPr>
    </w:p>
    <w:p w:rsidR="000D34A0" w:rsidRDefault="000D34A0">
      <w:pPr>
        <w:spacing w:after="0" w:line="361" w:lineRule="auto"/>
        <w:ind w:left="0" w:right="10139" w:firstLine="0"/>
        <w:jc w:val="left"/>
      </w:pPr>
    </w:p>
    <w:p w:rsidR="000D34A0" w:rsidRDefault="000D34A0">
      <w:pPr>
        <w:spacing w:after="0" w:line="361" w:lineRule="auto"/>
        <w:ind w:left="0" w:right="10139" w:firstLine="0"/>
        <w:jc w:val="left"/>
      </w:pPr>
    </w:p>
    <w:p w:rsidR="000D34A0" w:rsidRDefault="000D34A0">
      <w:pPr>
        <w:spacing w:after="0" w:line="361" w:lineRule="auto"/>
        <w:ind w:left="0" w:right="10139" w:firstLine="0"/>
        <w:jc w:val="left"/>
      </w:pPr>
    </w:p>
    <w:p w:rsidR="000D34A0" w:rsidRDefault="000D34A0">
      <w:pPr>
        <w:spacing w:after="0" w:line="361" w:lineRule="auto"/>
        <w:ind w:left="0" w:right="10139" w:firstLine="0"/>
        <w:jc w:val="left"/>
      </w:pPr>
    </w:p>
    <w:p w:rsidR="00030A0A" w:rsidRDefault="00030A0A">
      <w:pPr>
        <w:spacing w:after="0" w:line="361" w:lineRule="auto"/>
        <w:ind w:left="0" w:right="10139" w:firstLine="0"/>
        <w:jc w:val="left"/>
      </w:pPr>
    </w:p>
    <w:p w:rsidR="00030A0A" w:rsidRDefault="00030A0A">
      <w:pPr>
        <w:spacing w:after="10" w:line="361" w:lineRule="auto"/>
        <w:ind w:left="0" w:right="10139" w:firstLine="0"/>
        <w:jc w:val="left"/>
      </w:pPr>
    </w:p>
    <w:p w:rsidR="00030A0A" w:rsidRDefault="00030A0A">
      <w:pPr>
        <w:spacing w:after="0" w:line="259" w:lineRule="auto"/>
        <w:ind w:left="776" w:firstLine="0"/>
        <w:jc w:val="center"/>
      </w:pPr>
    </w:p>
    <w:p w:rsidR="00030A0A" w:rsidRDefault="0018499B">
      <w:pPr>
        <w:pStyle w:val="1"/>
        <w:spacing w:after="3" w:line="259" w:lineRule="auto"/>
        <w:ind w:left="986" w:hanging="283"/>
        <w:jc w:val="center"/>
      </w:pPr>
      <w:bookmarkStart w:id="0" w:name="_Toc5713"/>
      <w:r>
        <w:t xml:space="preserve">Общие положения </w:t>
      </w:r>
      <w:bookmarkEnd w:id="0"/>
    </w:p>
    <w:p w:rsidR="00030A0A" w:rsidRDefault="00030A0A">
      <w:pPr>
        <w:spacing w:after="0" w:line="259" w:lineRule="auto"/>
        <w:ind w:left="0" w:firstLine="0"/>
        <w:jc w:val="left"/>
      </w:pPr>
    </w:p>
    <w:p w:rsidR="00030A0A" w:rsidRDefault="0018499B">
      <w:pPr>
        <w:ind w:left="-15"/>
      </w:pPr>
      <w:r>
        <w:t>1.1. Стандарт организации деятельности СОД-2 «Подготовка отчета о деятельности Контрольно-ревизионной комиссии муниципального образования «</w:t>
      </w:r>
      <w:r w:rsidR="000D34A0">
        <w:t>Глинковский</w:t>
      </w:r>
      <w:r>
        <w:t xml:space="preserve"> район» Смоленской области» (далее – Стандарт) разработан в соответствии с требованиями Федерального закона от 07.02.2011 № 6-ФЗ   «Об общих принципах организации и деятельности контрольно-счетных органов субъектов Российской Федерации и муниципальных образований» на основе 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 (протокол от 12.05.2012 № 21К (854)) в целях реализации Положения о Контрольно-ревизионной комиссии муниципального образования «</w:t>
      </w:r>
      <w:r w:rsidR="000D34A0">
        <w:t>Глинковский</w:t>
      </w:r>
      <w:r>
        <w:t xml:space="preserve"> район» Смоленской области, утвержденного решением </w:t>
      </w:r>
      <w:r w:rsidR="000D34A0">
        <w:t>Глинковского</w:t>
      </w:r>
      <w:r w:rsidR="005E2BA9">
        <w:t xml:space="preserve"> </w:t>
      </w:r>
      <w:r>
        <w:t>районно</w:t>
      </w:r>
      <w:r w:rsidR="000D34A0">
        <w:t>го</w:t>
      </w:r>
      <w:r w:rsidR="005E2BA9">
        <w:t xml:space="preserve"> </w:t>
      </w:r>
      <w:r w:rsidR="000D34A0">
        <w:t>Совета депутатов</w:t>
      </w:r>
      <w:r>
        <w:t xml:space="preserve"> от </w:t>
      </w:r>
      <w:r w:rsidR="000D34A0">
        <w:t>22</w:t>
      </w:r>
      <w:r>
        <w:t>.0</w:t>
      </w:r>
      <w:r w:rsidR="000D34A0">
        <w:t>9</w:t>
      </w:r>
      <w:r>
        <w:t>.20</w:t>
      </w:r>
      <w:r w:rsidR="000D34A0">
        <w:t>2</w:t>
      </w:r>
      <w:r>
        <w:t xml:space="preserve">1 № </w:t>
      </w:r>
      <w:r w:rsidR="000D34A0">
        <w:t>30</w:t>
      </w:r>
      <w:r>
        <w:t>, в соответствии с Регламентом Контрольно-ревизионной комиссии муниципального образования «</w:t>
      </w:r>
      <w:r w:rsidR="000D34A0">
        <w:t>Глинковский</w:t>
      </w:r>
      <w:r>
        <w:t xml:space="preserve"> район» Смоленской области (далее – Регламент). </w:t>
      </w:r>
    </w:p>
    <w:p w:rsidR="00030A0A" w:rsidRDefault="0018499B">
      <w:pPr>
        <w:ind w:left="-15"/>
      </w:pPr>
      <w:r>
        <w:t>1.2. Стандарт предназначен для установления общих принципов и правил подготовки отчета о деятельности Контрольно-ревизионной комиссии муниципального образования «</w:t>
      </w:r>
      <w:r w:rsidR="0083563B">
        <w:t>Глин</w:t>
      </w:r>
      <w:r w:rsidR="00BF41F6">
        <w:t>ковский</w:t>
      </w:r>
      <w:r>
        <w:t xml:space="preserve"> район» Смоленской области (далее – годовой отчет). </w:t>
      </w:r>
    </w:p>
    <w:p w:rsidR="00030A0A" w:rsidRDefault="0018499B">
      <w:pPr>
        <w:ind w:left="710" w:firstLine="0"/>
      </w:pPr>
      <w:r>
        <w:t xml:space="preserve">1.3. Задачами Стандарта являются определение общих требований к: </w:t>
      </w:r>
    </w:p>
    <w:p w:rsidR="00030A0A" w:rsidRDefault="0018499B">
      <w:pPr>
        <w:numPr>
          <w:ilvl w:val="0"/>
          <w:numId w:val="1"/>
        </w:numPr>
      </w:pPr>
      <w:r>
        <w:t xml:space="preserve">структуре и содержанию годового отчета; </w:t>
      </w:r>
    </w:p>
    <w:p w:rsidR="00030A0A" w:rsidRDefault="0018499B">
      <w:pPr>
        <w:numPr>
          <w:ilvl w:val="0"/>
          <w:numId w:val="1"/>
        </w:numPr>
      </w:pPr>
      <w:r>
        <w:t xml:space="preserve">организации работы по подготовке годового отчета;  </w:t>
      </w:r>
    </w:p>
    <w:p w:rsidR="00030A0A" w:rsidRDefault="0018499B">
      <w:pPr>
        <w:numPr>
          <w:ilvl w:val="0"/>
          <w:numId w:val="1"/>
        </w:numPr>
      </w:pPr>
      <w:r>
        <w:t xml:space="preserve">документам и материалам, предоставляемым для формирования годового отчета; </w:t>
      </w:r>
    </w:p>
    <w:p w:rsidR="00030A0A" w:rsidRDefault="0018499B">
      <w:pPr>
        <w:numPr>
          <w:ilvl w:val="0"/>
          <w:numId w:val="1"/>
        </w:numPr>
      </w:pPr>
      <w:r>
        <w:t xml:space="preserve">порядку утверждения годового отчета. </w:t>
      </w:r>
    </w:p>
    <w:p w:rsidR="00030A0A" w:rsidRDefault="00030A0A">
      <w:pPr>
        <w:spacing w:after="0" w:line="259" w:lineRule="auto"/>
        <w:ind w:left="710" w:firstLine="0"/>
        <w:jc w:val="left"/>
      </w:pPr>
    </w:p>
    <w:p w:rsidR="00030A0A" w:rsidRDefault="0018499B">
      <w:pPr>
        <w:pStyle w:val="1"/>
        <w:spacing w:after="3" w:line="259" w:lineRule="auto"/>
        <w:ind w:left="986" w:right="3" w:hanging="283"/>
        <w:jc w:val="center"/>
      </w:pPr>
      <w:bookmarkStart w:id="1" w:name="_Toc5714"/>
      <w:r>
        <w:t xml:space="preserve">Цель, задачи и принципы формирования годового отчета </w:t>
      </w:r>
      <w:bookmarkEnd w:id="1"/>
    </w:p>
    <w:p w:rsidR="00030A0A" w:rsidRDefault="0018499B" w:rsidP="00CE5F1C">
      <w:pPr>
        <w:spacing w:after="0" w:line="259" w:lineRule="auto"/>
        <w:ind w:left="710" w:firstLine="0"/>
        <w:jc w:val="left"/>
      </w:pPr>
      <w:r>
        <w:t>2.1. Целью формирования годового отчета о деятельности</w:t>
      </w:r>
      <w:r w:rsidR="005E2BA9">
        <w:t xml:space="preserve"> </w:t>
      </w:r>
      <w:r>
        <w:t>Контрольно</w:t>
      </w:r>
      <w:r w:rsidR="000D34A0">
        <w:t>-</w:t>
      </w:r>
      <w:r>
        <w:t>ревизионной комиссии муниципального образования «</w:t>
      </w:r>
      <w:r w:rsidR="00BF41F6">
        <w:t>Глинковский</w:t>
      </w:r>
      <w:r>
        <w:t xml:space="preserve"> район» Смоленской области (далее - Контрольно-ревизионная комиссия) является обобщение и систематизация результатов деятельности по проведению внешнего муниципального финансового контроля за отчетный период. </w:t>
      </w:r>
    </w:p>
    <w:p w:rsidR="00030A0A" w:rsidRDefault="0018499B">
      <w:pPr>
        <w:ind w:left="-15"/>
      </w:pPr>
      <w:r>
        <w:t xml:space="preserve">2.2. Формирование годового отчета предполагает постановку и решение следующих задач:  </w:t>
      </w:r>
    </w:p>
    <w:p w:rsidR="00030A0A" w:rsidRDefault="0018499B">
      <w:pPr>
        <w:numPr>
          <w:ilvl w:val="0"/>
          <w:numId w:val="2"/>
        </w:numPr>
      </w:pPr>
      <w:r>
        <w:t xml:space="preserve">обобщение и классификация результатов контрольных мероприятий по видам выявленных нарушений в количественном и суммовом выражении; </w:t>
      </w:r>
    </w:p>
    <w:p w:rsidR="00030A0A" w:rsidRDefault="0018499B">
      <w:pPr>
        <w:numPr>
          <w:ilvl w:val="0"/>
          <w:numId w:val="2"/>
        </w:numPr>
      </w:pPr>
      <w:r>
        <w:t xml:space="preserve">анализ результатов проведенных контрольных и экспертно-аналитических мероприятий; </w:t>
      </w:r>
    </w:p>
    <w:p w:rsidR="00030A0A" w:rsidRDefault="0018499B">
      <w:pPr>
        <w:numPr>
          <w:ilvl w:val="0"/>
          <w:numId w:val="2"/>
        </w:numPr>
      </w:pPr>
      <w:r>
        <w:t>анализ реализации мер, принимаемых по итогам контрольных и экспертно</w:t>
      </w:r>
      <w:r w:rsidR="000D34A0">
        <w:t>-</w:t>
      </w:r>
      <w:r>
        <w:t xml:space="preserve">аналитических мероприятий; </w:t>
      </w:r>
    </w:p>
    <w:p w:rsidR="00030A0A" w:rsidRDefault="0018499B">
      <w:pPr>
        <w:numPr>
          <w:ilvl w:val="0"/>
          <w:numId w:val="2"/>
        </w:numPr>
      </w:pPr>
      <w:r>
        <w:lastRenderedPageBreak/>
        <w:t xml:space="preserve">информирование общественности о деятельности Контрольно-ревизионной комиссии. </w:t>
      </w:r>
    </w:p>
    <w:p w:rsidR="00030A0A" w:rsidRDefault="0018499B">
      <w:pPr>
        <w:ind w:left="-15"/>
      </w:pPr>
      <w:r>
        <w:t>2.3. Формирование годового отчета о деятельности</w:t>
      </w:r>
      <w:r w:rsidR="000B634A">
        <w:t xml:space="preserve"> </w:t>
      </w:r>
      <w:r>
        <w:t xml:space="preserve">основывается на принципах объективности, полноты, своевременности, независимости и гласности. </w:t>
      </w:r>
    </w:p>
    <w:p w:rsidR="00030A0A" w:rsidRDefault="00030A0A">
      <w:pPr>
        <w:spacing w:after="0" w:line="259" w:lineRule="auto"/>
        <w:ind w:left="710" w:firstLine="0"/>
        <w:jc w:val="left"/>
      </w:pPr>
    </w:p>
    <w:p w:rsidR="00030A0A" w:rsidRDefault="0018499B">
      <w:pPr>
        <w:pStyle w:val="1"/>
        <w:ind w:left="2870" w:hanging="283"/>
      </w:pPr>
      <w:bookmarkStart w:id="2" w:name="_Toc5715"/>
      <w:r>
        <w:t xml:space="preserve">Требования к содержанию годового отчета </w:t>
      </w:r>
      <w:bookmarkEnd w:id="2"/>
    </w:p>
    <w:p w:rsidR="00030A0A" w:rsidRDefault="0018499B" w:rsidP="00BF41F6">
      <w:pPr>
        <w:ind w:left="-15"/>
      </w:pPr>
      <w:r>
        <w:t xml:space="preserve">3.1.Контрольно-ревизионной комиссией формируется годовой отчет за отчетный период для предоставления в </w:t>
      </w:r>
      <w:r w:rsidR="00BF41F6">
        <w:t>Глинковский</w:t>
      </w:r>
      <w:r w:rsidR="005E2BA9">
        <w:t xml:space="preserve"> </w:t>
      </w:r>
      <w:r>
        <w:t>районн</w:t>
      </w:r>
      <w:r w:rsidR="00BF41F6">
        <w:t>ый</w:t>
      </w:r>
      <w:r w:rsidR="005E2BA9">
        <w:t xml:space="preserve"> </w:t>
      </w:r>
      <w:r w:rsidR="00BF41F6">
        <w:t>Совет депутатов</w:t>
      </w:r>
      <w:r>
        <w:t xml:space="preserve">. </w:t>
      </w:r>
    </w:p>
    <w:p w:rsidR="00030A0A" w:rsidRDefault="0018499B">
      <w:pPr>
        <w:ind w:left="-15"/>
      </w:pPr>
      <w:r>
        <w:t xml:space="preserve">3.2. Отчетным периодом, за который формируется годовой отчет, является период с 01 января по 31 декабря отчетного года.  </w:t>
      </w:r>
    </w:p>
    <w:p w:rsidR="00030A0A" w:rsidRDefault="0018499B">
      <w:pPr>
        <w:ind w:left="-15"/>
      </w:pPr>
      <w:r>
        <w:t xml:space="preserve">3.3. Годовой отчет формируется нарастающим итогом с начала календарного года. </w:t>
      </w:r>
    </w:p>
    <w:p w:rsidR="00030A0A" w:rsidRDefault="0018499B">
      <w:pPr>
        <w:ind w:left="-15"/>
      </w:pPr>
      <w:r>
        <w:t>3.4. В случае служебной необходимости отчет о деятельности</w:t>
      </w:r>
      <w:r w:rsidR="000B634A">
        <w:t xml:space="preserve"> </w:t>
      </w:r>
      <w:r>
        <w:t>Контрольно</w:t>
      </w:r>
      <w:r w:rsidR="00BF41F6">
        <w:t>-</w:t>
      </w:r>
      <w:r>
        <w:t xml:space="preserve">ревизионной комиссии может быть составлен за иные периоды. </w:t>
      </w:r>
    </w:p>
    <w:p w:rsidR="00030A0A" w:rsidRDefault="0018499B">
      <w:pPr>
        <w:ind w:left="-15"/>
      </w:pPr>
      <w:r>
        <w:t xml:space="preserve">3.5. Годовой отчет состоит из текстовой части, примерная структура которой включает следующие разделы: </w:t>
      </w:r>
    </w:p>
    <w:p w:rsidR="00030A0A" w:rsidRDefault="0018499B">
      <w:pPr>
        <w:numPr>
          <w:ilvl w:val="0"/>
          <w:numId w:val="3"/>
        </w:numPr>
        <w:ind w:left="993" w:hanging="283"/>
      </w:pPr>
      <w:r>
        <w:t xml:space="preserve">Общие положения.  </w:t>
      </w:r>
    </w:p>
    <w:p w:rsidR="00030A0A" w:rsidRDefault="0018499B">
      <w:pPr>
        <w:numPr>
          <w:ilvl w:val="0"/>
          <w:numId w:val="3"/>
        </w:numPr>
        <w:ind w:left="993" w:hanging="283"/>
      </w:pPr>
      <w:r>
        <w:t xml:space="preserve">Экспертно-аналитическая деятельность. </w:t>
      </w:r>
    </w:p>
    <w:p w:rsidR="00030A0A" w:rsidRDefault="0018499B">
      <w:pPr>
        <w:numPr>
          <w:ilvl w:val="0"/>
          <w:numId w:val="3"/>
        </w:numPr>
        <w:ind w:left="993" w:hanging="283"/>
      </w:pPr>
      <w:r>
        <w:t xml:space="preserve">Контрольная деятельность. </w:t>
      </w:r>
    </w:p>
    <w:p w:rsidR="00030A0A" w:rsidRDefault="0018499B">
      <w:pPr>
        <w:numPr>
          <w:ilvl w:val="0"/>
          <w:numId w:val="3"/>
        </w:numPr>
        <w:ind w:left="993" w:hanging="283"/>
      </w:pPr>
      <w:r>
        <w:t xml:space="preserve">Организационная деятельность. </w:t>
      </w:r>
    </w:p>
    <w:p w:rsidR="00030A0A" w:rsidRDefault="0018499B">
      <w:pPr>
        <w:numPr>
          <w:ilvl w:val="1"/>
          <w:numId w:val="4"/>
        </w:numPr>
      </w:pPr>
      <w:r>
        <w:t xml:space="preserve">Раздел «Общие положения» содержит сведения о правовом статусе Контрольно-ревизионной комиссии и организации ее деятельности, основания для представления годового отчета, информацию об итогах и направлениях деятельности в отчетном году, количестве проведенных экспертно-аналитических и контрольных мероприятий. </w:t>
      </w:r>
    </w:p>
    <w:p w:rsidR="00030A0A" w:rsidRDefault="0018499B">
      <w:pPr>
        <w:numPr>
          <w:ilvl w:val="1"/>
          <w:numId w:val="4"/>
        </w:numPr>
      </w:pPr>
      <w:r>
        <w:t xml:space="preserve">Раздел «Экспертно-аналитическая деятельность» содержит информацию о количестве и результатах экспертно-аналитических мероприятий, подготовленных по их результатам заключений, предложениях по устранению нарушений. </w:t>
      </w:r>
    </w:p>
    <w:p w:rsidR="00030A0A" w:rsidRDefault="0018499B">
      <w:pPr>
        <w:numPr>
          <w:ilvl w:val="1"/>
          <w:numId w:val="4"/>
        </w:numPr>
      </w:pPr>
      <w:r>
        <w:t>Раздел «Контрольная деятельность» содержит информацию об объектах и  количестве проведенных контрольных мероприятий, о видах и суммах выявленных нарушений, мерах принятых по результатам проведенных контрольных мероприятиях (представления, предписания, предложения по совершенствованию правовых актов и пр.), количестве отчетов направленных в</w:t>
      </w:r>
      <w:r w:rsidR="005E2BA9">
        <w:t xml:space="preserve"> </w:t>
      </w:r>
      <w:r w:rsidR="00BF41F6">
        <w:t>Глинковский районный Совет депутатов</w:t>
      </w:r>
      <w:r>
        <w:t>, Советы депутатов поселений, входящих в состав муниципального образования «</w:t>
      </w:r>
      <w:r w:rsidR="00BF41F6">
        <w:t>Глинковский</w:t>
      </w:r>
      <w:r w:rsidR="005E2BA9">
        <w:t xml:space="preserve"> </w:t>
      </w:r>
      <w:r>
        <w:t xml:space="preserve">район» Смоленской области (далее – муниципальный район).  </w:t>
      </w:r>
    </w:p>
    <w:p w:rsidR="00030A0A" w:rsidRDefault="0018499B">
      <w:pPr>
        <w:numPr>
          <w:ilvl w:val="1"/>
          <w:numId w:val="4"/>
        </w:numPr>
      </w:pPr>
      <w:r>
        <w:t>Раздел «Организационная деятельность» содержит информацию о методологическом и аналитическом обеспечении деятельности</w:t>
      </w:r>
      <w:r w:rsidR="00520E7E">
        <w:t xml:space="preserve"> </w:t>
      </w:r>
      <w:r>
        <w:t>Контрольно</w:t>
      </w:r>
      <w:r w:rsidR="00BF41F6">
        <w:t>-</w:t>
      </w:r>
      <w:r>
        <w:t xml:space="preserve">ревизионной комиссии, об участии Контрольно-ревизионной комиссии в работе постоянных комиссий, заседаний </w:t>
      </w:r>
      <w:r w:rsidR="00BF41F6">
        <w:t>Глинковского</w:t>
      </w:r>
      <w:r>
        <w:t xml:space="preserve"> районно</w:t>
      </w:r>
      <w:r w:rsidR="00BF41F6">
        <w:t>го</w:t>
      </w:r>
      <w:r w:rsidR="005E2BA9">
        <w:t xml:space="preserve"> </w:t>
      </w:r>
      <w:r w:rsidR="00BF41F6">
        <w:t>Совета депутатов</w:t>
      </w:r>
      <w:r>
        <w:t xml:space="preserve">, о взаимодействии с Контрольно-счетной палатой Смоленской области и иными органами, о публикации сведений о деятельности </w:t>
      </w:r>
      <w:r>
        <w:lastRenderedPageBreak/>
        <w:t>Контрольно-ревизионной комиссии на официальном сайте муниципального образования «</w:t>
      </w:r>
      <w:r w:rsidR="00BF41F6">
        <w:t>Глинковский</w:t>
      </w:r>
      <w:r>
        <w:t xml:space="preserve"> район» Смоленской области. </w:t>
      </w:r>
    </w:p>
    <w:p w:rsidR="00030A0A" w:rsidRDefault="00030A0A">
      <w:pPr>
        <w:spacing w:after="0" w:line="259" w:lineRule="auto"/>
        <w:ind w:left="710" w:firstLine="0"/>
        <w:jc w:val="left"/>
      </w:pPr>
    </w:p>
    <w:p w:rsidR="00030A0A" w:rsidRDefault="0018499B">
      <w:pPr>
        <w:pStyle w:val="1"/>
        <w:ind w:left="2635" w:hanging="283"/>
      </w:pPr>
      <w:bookmarkStart w:id="3" w:name="_Toc5716"/>
      <w:r>
        <w:t xml:space="preserve">Формирование и утверждение годового отчета </w:t>
      </w:r>
      <w:bookmarkEnd w:id="3"/>
    </w:p>
    <w:p w:rsidR="00030A0A" w:rsidRDefault="0018499B" w:rsidP="00CE5F1C">
      <w:pPr>
        <w:spacing w:after="0" w:line="259" w:lineRule="auto"/>
        <w:ind w:left="710" w:firstLine="0"/>
        <w:jc w:val="left"/>
      </w:pPr>
      <w:r>
        <w:t xml:space="preserve">4.1.Организация подготовки годового отчета осуществляется председателем Контрольно-ревизионной комиссии. </w:t>
      </w:r>
    </w:p>
    <w:p w:rsidR="00030A0A" w:rsidRDefault="0018499B">
      <w:pPr>
        <w:ind w:left="-15"/>
      </w:pPr>
      <w:r>
        <w:t xml:space="preserve">4.2. Годовой отчет утверждается председателем Контрольно-ревизионной комиссии и направляется на рассмотрение в </w:t>
      </w:r>
      <w:r w:rsidR="00BF41F6">
        <w:t>Глинковский</w:t>
      </w:r>
      <w:r>
        <w:t xml:space="preserve"> районн</w:t>
      </w:r>
      <w:r w:rsidR="00BF41F6">
        <w:t>ый Совет</w:t>
      </w:r>
      <w:r w:rsidR="005E2BA9">
        <w:t xml:space="preserve"> </w:t>
      </w:r>
      <w:r w:rsidR="00BF41F6">
        <w:t>депутатов</w:t>
      </w:r>
      <w:r>
        <w:t xml:space="preserve"> в срок до 1 марта года, следующего за отчетным. </w:t>
      </w:r>
    </w:p>
    <w:p w:rsidR="00030A0A" w:rsidRDefault="0018499B">
      <w:pPr>
        <w:ind w:left="-15"/>
      </w:pPr>
      <w:r>
        <w:t xml:space="preserve">4.3. Представление годового отчета осуществляется председателем Контрольно-ревизионной комиссии в форме устного доклада на заседании </w:t>
      </w:r>
      <w:r w:rsidR="00BF41F6">
        <w:t>Глинковского районного Совета депутатов</w:t>
      </w:r>
      <w:r>
        <w:t xml:space="preserve">. </w:t>
      </w:r>
    </w:p>
    <w:p w:rsidR="00030A0A" w:rsidRDefault="0018499B">
      <w:pPr>
        <w:ind w:left="-15"/>
      </w:pPr>
      <w:r>
        <w:t xml:space="preserve">4.4. Годовой отчет после рассмотрения </w:t>
      </w:r>
      <w:r w:rsidR="00BF41F6">
        <w:t>Глинковским</w:t>
      </w:r>
      <w:r w:rsidR="005E2BA9">
        <w:t xml:space="preserve"> </w:t>
      </w:r>
      <w:r>
        <w:t>районн</w:t>
      </w:r>
      <w:r w:rsidR="00BF41F6">
        <w:t>ым Советом депутатов</w:t>
      </w:r>
      <w:r>
        <w:t xml:space="preserve"> подлежит опубликованию в средствах массовой информации или размещается на официальном сайте муниципального образования «</w:t>
      </w:r>
      <w:r w:rsidR="00BF41F6">
        <w:t>Глинковский</w:t>
      </w:r>
      <w:r>
        <w:t xml:space="preserve"> район» Смоленской области в информационно-телекоммуникационной сети «Интернет». </w:t>
      </w:r>
    </w:p>
    <w:p w:rsidR="00030A0A" w:rsidRDefault="00030A0A">
      <w:pPr>
        <w:spacing w:after="0" w:line="259" w:lineRule="auto"/>
        <w:ind w:left="776" w:firstLine="0"/>
        <w:jc w:val="center"/>
      </w:pPr>
    </w:p>
    <w:p w:rsidR="00030A0A" w:rsidRDefault="0018499B">
      <w:pPr>
        <w:pStyle w:val="1"/>
        <w:ind w:left="3009" w:hanging="283"/>
      </w:pPr>
      <w:bookmarkStart w:id="4" w:name="_Toc5717"/>
      <w:r>
        <w:t xml:space="preserve">Правила формирования годового отчета  </w:t>
      </w:r>
      <w:bookmarkEnd w:id="4"/>
    </w:p>
    <w:p w:rsidR="00030A0A" w:rsidRDefault="0018499B">
      <w:pPr>
        <w:ind w:left="-15"/>
      </w:pPr>
      <w:bookmarkStart w:id="5" w:name="_GoBack"/>
      <w:bookmarkEnd w:id="5"/>
      <w:r>
        <w:t xml:space="preserve">5.1. Учет количества проведенных экспертно-аналитических мероприятий осуществляется по количеству заключений, составленных по их результатам. Учет количества контрольных мероприятий осуществляется по количеству актов. </w:t>
      </w:r>
    </w:p>
    <w:p w:rsidR="00030A0A" w:rsidRDefault="0018499B">
      <w:pPr>
        <w:ind w:left="-15"/>
      </w:pPr>
      <w:r>
        <w:t xml:space="preserve">Контрольные и экспертно-аналитические мероприятия учитываются раздельно. </w:t>
      </w:r>
    </w:p>
    <w:p w:rsidR="00030A0A" w:rsidRDefault="0018499B">
      <w:pPr>
        <w:ind w:left="-15"/>
      </w:pPr>
      <w:r>
        <w:t xml:space="preserve">5.2. В годовом отчете приводятся данные только по завершенным контрольным и экспертно-аналитическим мероприятиям (после утверждения отчета или заключения в соответствии с Регламентом). </w:t>
      </w:r>
    </w:p>
    <w:p w:rsidR="00030A0A" w:rsidRDefault="0018499B">
      <w:pPr>
        <w:ind w:left="-15"/>
      </w:pPr>
      <w:r>
        <w:t xml:space="preserve">5.3. При определении количества проверенных объектов в качестве объекта проверки учитывается организация (юридическое лицо), в которой в отчетном периоде были проведены контрольные мероприятия и по их результатам составлен акт.  </w:t>
      </w:r>
    </w:p>
    <w:p w:rsidR="00030A0A" w:rsidRDefault="0018499B">
      <w:pPr>
        <w:ind w:left="-15"/>
      </w:pPr>
      <w:r>
        <w:t xml:space="preserve">Если проведено несколько контрольных мероприятий на одном объекте в течение отчетного периода, то объект учитывается один раз. </w:t>
      </w:r>
    </w:p>
    <w:p w:rsidR="00030A0A" w:rsidRDefault="0018499B">
      <w:pPr>
        <w:ind w:left="-15"/>
      </w:pPr>
      <w:r>
        <w:t xml:space="preserve">5.4. Информация о выявленном нецелевом, незаконном использовании средств бюджета муниципального района и иных финансовых нарушениях включается в годовой отчет только на основании утвержденных отчетов о результатах контрольных мероприятий. </w:t>
      </w:r>
    </w:p>
    <w:p w:rsidR="00030A0A" w:rsidRDefault="0018499B">
      <w:pPr>
        <w:ind w:left="-15"/>
      </w:pPr>
      <w:r>
        <w:t xml:space="preserve">5.5. Суммы выявленных и возмещенных финансовых нарушений указываются в тысячах рублей с точностью до одного десятичного знака. </w:t>
      </w:r>
    </w:p>
    <w:p w:rsidR="00030A0A" w:rsidRDefault="0018499B">
      <w:pPr>
        <w:ind w:left="710" w:firstLine="0"/>
      </w:pPr>
      <w:r>
        <w:t xml:space="preserve">5.6. Объем годового отчета не ограничен. </w:t>
      </w:r>
    </w:p>
    <w:p w:rsidR="00030A0A" w:rsidRDefault="0018499B" w:rsidP="005E2BA9">
      <w:pPr>
        <w:ind w:left="-15"/>
      </w:pPr>
      <w:r>
        <w:t xml:space="preserve">5.7. Текстовые документы и материалы к формированию годового отчета о работе оформляются в соответствии с требованиями делопроизводства.  </w:t>
      </w:r>
    </w:p>
    <w:sectPr w:rsidR="00030A0A" w:rsidSect="00CB72C2">
      <w:headerReference w:type="even" r:id="rId9"/>
      <w:headerReference w:type="default" r:id="rId10"/>
      <w:headerReference w:type="first" r:id="rId11"/>
      <w:pgSz w:w="11900" w:h="16840"/>
      <w:pgMar w:top="1196" w:right="559" w:bottom="1221" w:left="113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22A" w:rsidRDefault="0032122A">
      <w:pPr>
        <w:spacing w:after="0" w:line="240" w:lineRule="auto"/>
      </w:pPr>
      <w:r>
        <w:separator/>
      </w:r>
    </w:p>
  </w:endnote>
  <w:endnote w:type="continuationSeparator" w:id="1">
    <w:p w:rsidR="0032122A" w:rsidRDefault="0032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22A" w:rsidRDefault="0032122A">
      <w:pPr>
        <w:spacing w:after="0" w:line="240" w:lineRule="auto"/>
      </w:pPr>
      <w:r>
        <w:separator/>
      </w:r>
    </w:p>
  </w:footnote>
  <w:footnote w:type="continuationSeparator" w:id="1">
    <w:p w:rsidR="0032122A" w:rsidRDefault="00321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0A" w:rsidRDefault="0018499B">
    <w:pPr>
      <w:tabs>
        <w:tab w:val="center" w:pos="710"/>
        <w:tab w:val="center" w:pos="546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ab/>
    </w:r>
    <w:r w:rsidR="00874F7A">
      <w:rPr>
        <w:sz w:val="24"/>
      </w:rPr>
      <w:fldChar w:fldCharType="begin"/>
    </w:r>
    <w:r>
      <w:rPr>
        <w:sz w:val="24"/>
      </w:rPr>
      <w:instrText xml:space="preserve"> PAGE   \* MERGEFORMAT </w:instrText>
    </w:r>
    <w:r w:rsidR="00874F7A">
      <w:rPr>
        <w:sz w:val="24"/>
      </w:rPr>
      <w:fldChar w:fldCharType="separate"/>
    </w:r>
    <w:r>
      <w:rPr>
        <w:sz w:val="24"/>
      </w:rPr>
      <w:t>2</w:t>
    </w:r>
    <w:r w:rsidR="00874F7A"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0A" w:rsidRDefault="0018499B">
    <w:pPr>
      <w:tabs>
        <w:tab w:val="center" w:pos="710"/>
        <w:tab w:val="center" w:pos="546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ab/>
    </w:r>
    <w:r w:rsidR="00874F7A">
      <w:rPr>
        <w:sz w:val="24"/>
      </w:rPr>
      <w:fldChar w:fldCharType="begin"/>
    </w:r>
    <w:r>
      <w:rPr>
        <w:sz w:val="24"/>
      </w:rPr>
      <w:instrText xml:space="preserve"> PAGE   \* MERGEFORMAT </w:instrText>
    </w:r>
    <w:r w:rsidR="00874F7A">
      <w:rPr>
        <w:sz w:val="24"/>
      </w:rPr>
      <w:fldChar w:fldCharType="separate"/>
    </w:r>
    <w:r w:rsidR="00520E7E">
      <w:rPr>
        <w:noProof/>
        <w:sz w:val="24"/>
      </w:rPr>
      <w:t>5</w:t>
    </w:r>
    <w:r w:rsidR="00874F7A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0A" w:rsidRDefault="00030A0A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4CD6"/>
    <w:multiLevelType w:val="hybridMultilevel"/>
    <w:tmpl w:val="0600A31A"/>
    <w:lvl w:ilvl="0" w:tplc="C6B809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E09E0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E0993E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66500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2672C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D0E68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441CC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6AA61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68056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0AA423B"/>
    <w:multiLevelType w:val="multilevel"/>
    <w:tmpl w:val="27566CD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9990C0D"/>
    <w:multiLevelType w:val="hybridMultilevel"/>
    <w:tmpl w:val="0CCE86FA"/>
    <w:lvl w:ilvl="0" w:tplc="A1AEFEF2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70309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0255C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4A044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8EDBB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1446E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CAA0F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D213C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1434D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DAF5D02"/>
    <w:multiLevelType w:val="hybridMultilevel"/>
    <w:tmpl w:val="A0C64A32"/>
    <w:lvl w:ilvl="0" w:tplc="C51662F0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FA24B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B45F3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CEC95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AE9A8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DAE51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DE065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3AF23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6486EA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4AA1251"/>
    <w:multiLevelType w:val="hybridMultilevel"/>
    <w:tmpl w:val="E3AE42C6"/>
    <w:lvl w:ilvl="0" w:tplc="0B1C7D0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24154A">
      <w:start w:val="1"/>
      <w:numFmt w:val="lowerLetter"/>
      <w:lvlText w:val="%2"/>
      <w:lvlJc w:val="left"/>
      <w:pPr>
        <w:ind w:left="3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023F22">
      <w:start w:val="1"/>
      <w:numFmt w:val="lowerRoman"/>
      <w:lvlText w:val="%3"/>
      <w:lvlJc w:val="left"/>
      <w:pPr>
        <w:ind w:left="4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9A273A">
      <w:start w:val="1"/>
      <w:numFmt w:val="decimal"/>
      <w:lvlText w:val="%4"/>
      <w:lvlJc w:val="left"/>
      <w:pPr>
        <w:ind w:left="5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B61F36">
      <w:start w:val="1"/>
      <w:numFmt w:val="lowerLetter"/>
      <w:lvlText w:val="%5"/>
      <w:lvlJc w:val="left"/>
      <w:pPr>
        <w:ind w:left="5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BE5ED0">
      <w:start w:val="1"/>
      <w:numFmt w:val="lowerRoman"/>
      <w:lvlText w:val="%6"/>
      <w:lvlJc w:val="left"/>
      <w:pPr>
        <w:ind w:left="6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082840">
      <w:start w:val="1"/>
      <w:numFmt w:val="decimal"/>
      <w:lvlText w:val="%7"/>
      <w:lvlJc w:val="left"/>
      <w:pPr>
        <w:ind w:left="7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D4E5B6">
      <w:start w:val="1"/>
      <w:numFmt w:val="lowerLetter"/>
      <w:lvlText w:val="%8"/>
      <w:lvlJc w:val="left"/>
      <w:pPr>
        <w:ind w:left="8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E25196">
      <w:start w:val="1"/>
      <w:numFmt w:val="lowerRoman"/>
      <w:lvlText w:val="%9"/>
      <w:lvlJc w:val="left"/>
      <w:pPr>
        <w:ind w:left="8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0A0A"/>
    <w:rsid w:val="00030A0A"/>
    <w:rsid w:val="000B634A"/>
    <w:rsid w:val="000D34A0"/>
    <w:rsid w:val="0018499B"/>
    <w:rsid w:val="0032122A"/>
    <w:rsid w:val="00345BFE"/>
    <w:rsid w:val="003B3A88"/>
    <w:rsid w:val="003B62B0"/>
    <w:rsid w:val="00520E7E"/>
    <w:rsid w:val="00582C1A"/>
    <w:rsid w:val="005E2BA9"/>
    <w:rsid w:val="007A25B5"/>
    <w:rsid w:val="0083563B"/>
    <w:rsid w:val="00874F7A"/>
    <w:rsid w:val="00AA5152"/>
    <w:rsid w:val="00BF41F6"/>
    <w:rsid w:val="00CB72C2"/>
    <w:rsid w:val="00CE5F1C"/>
    <w:rsid w:val="00EA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C2"/>
    <w:pPr>
      <w:spacing w:after="1" w:line="249" w:lineRule="auto"/>
      <w:ind w:left="182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CB72C2"/>
    <w:pPr>
      <w:keepNext/>
      <w:keepLines/>
      <w:numPr>
        <w:numId w:val="5"/>
      </w:numPr>
      <w:spacing w:after="13" w:line="248" w:lineRule="auto"/>
      <w:ind w:left="48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CB72C2"/>
    <w:pPr>
      <w:keepNext/>
      <w:keepLines/>
      <w:spacing w:after="13" w:line="248" w:lineRule="auto"/>
      <w:ind w:left="485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B72C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CB72C2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rsid w:val="00CB72C2"/>
    <w:pPr>
      <w:spacing w:after="148" w:line="249" w:lineRule="auto"/>
      <w:ind w:left="15" w:right="2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34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BFE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Standard">
    <w:name w:val="Standard"/>
    <w:rsid w:val="00345B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F56D9-0671-4952-A2E9-92FC3433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13</cp:revision>
  <cp:lastPrinted>2021-12-21T08:42:00Z</cp:lastPrinted>
  <dcterms:created xsi:type="dcterms:W3CDTF">2021-12-20T12:46:00Z</dcterms:created>
  <dcterms:modified xsi:type="dcterms:W3CDTF">2021-12-22T07:34:00Z</dcterms:modified>
</cp:coreProperties>
</file>