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9"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bookmarkStart w:id="0" w:name="_GoBack"/>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bookmarkEnd w:id="0"/>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10"/>
          <w:footerReference w:type="default" r:id="rId11"/>
          <w:footerReference w:type="first" r:id="rId12"/>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9"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«Глинковский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3"/>
          <w:footerReference w:type="default" r:id="rId14"/>
          <w:footerReference w:type="first" r:id="rId15"/>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1" w:name="_Toc488307077"/>
      <w:bookmarkStart w:id="2" w:name="_Toc489953523"/>
      <w:bookmarkStart w:id="3" w:name="_Toc489953639"/>
      <w:bookmarkStart w:id="4" w:name="_Toc491430210"/>
      <w:bookmarkStart w:id="5"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rPr>
            </w:pPr>
            <w:r w:rsidRPr="00B05F91">
              <w:rPr>
                <w:rFonts w:ascii="Times New Roman" w:eastAsia="Times New Roman" w:hAnsi="Times New Roman" w:cs="Times New Roman"/>
                <w:sz w:val="24"/>
                <w:szCs w:val="24"/>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6"/>
          <w:footerReference w:type="default" r:id="rId17"/>
          <w:footerReference w:type="first" r:id="rId18"/>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6" w:name="_Toc496019114"/>
      <w:bookmarkStart w:id="7" w:name="_Toc503230298"/>
      <w:bookmarkEnd w:id="1"/>
      <w:bookmarkEnd w:id="2"/>
      <w:bookmarkEnd w:id="3"/>
      <w:bookmarkEnd w:id="4"/>
      <w:bookmarkEnd w:id="5"/>
      <w:r w:rsidRPr="00394F1F">
        <w:rPr>
          <w:rFonts w:ascii="Times New Roman" w:hAnsi="Times New Roman" w:cs="Times New Roman"/>
          <w:color w:val="auto"/>
        </w:rPr>
        <w:lastRenderedPageBreak/>
        <w:t>ОГЛАВЛЕНИЕ</w:t>
      </w:r>
      <w:bookmarkEnd w:id="6"/>
      <w:bookmarkEnd w:id="7"/>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4B12" w:rsidRPr="004B4B12" w:rsidRDefault="00A6663D">
          <w:pPr>
            <w:pStyle w:val="12"/>
            <w:tabs>
              <w:tab w:val="right" w:leader="dot" w:pos="10195"/>
            </w:tabs>
            <w:rPr>
              <w:rFonts w:ascii="Times New Roman" w:hAnsi="Times New Roman" w:cs="Times New Roman"/>
              <w:noProof/>
              <w:sz w:val="28"/>
              <w:szCs w:val="28"/>
            </w:rPr>
          </w:pPr>
          <w:r w:rsidRPr="00990A70">
            <w:rPr>
              <w:rFonts w:ascii="Times New Roman" w:hAnsi="Times New Roman" w:cs="Times New Roman"/>
              <w:color w:val="FF0000"/>
              <w:sz w:val="28"/>
              <w:szCs w:val="28"/>
            </w:rPr>
            <w:fldChar w:fldCharType="begin"/>
          </w:r>
          <w:r w:rsidR="004B035C" w:rsidRPr="00990A70">
            <w:rPr>
              <w:rFonts w:ascii="Times New Roman" w:hAnsi="Times New Roman" w:cs="Times New Roman"/>
              <w:color w:val="FF0000"/>
              <w:sz w:val="28"/>
              <w:szCs w:val="28"/>
            </w:rPr>
            <w:instrText xml:space="preserve"> TOC \o "1-4" \h \z \u </w:instrText>
          </w:r>
          <w:r w:rsidRPr="00990A70">
            <w:rPr>
              <w:rFonts w:ascii="Times New Roman" w:hAnsi="Times New Roman" w:cs="Times New Roman"/>
              <w:color w:val="FF0000"/>
              <w:sz w:val="28"/>
              <w:szCs w:val="28"/>
            </w:rPr>
            <w:fldChar w:fldCharType="separate"/>
          </w:r>
          <w:hyperlink w:anchor="_Toc503230298" w:history="1">
            <w:r w:rsidR="004B4B12" w:rsidRPr="004B4B12">
              <w:rPr>
                <w:rStyle w:val="af4"/>
                <w:rFonts w:ascii="Times New Roman" w:hAnsi="Times New Roman" w:cs="Times New Roman"/>
                <w:noProof/>
                <w:sz w:val="28"/>
                <w:szCs w:val="28"/>
              </w:rPr>
              <w:t>ОГЛАВЛЕНИЕ</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_Toc503230298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12"/>
            <w:tabs>
              <w:tab w:val="right" w:leader="dot" w:pos="10195"/>
            </w:tabs>
            <w:rPr>
              <w:rFonts w:ascii="Times New Roman" w:hAnsi="Times New Roman" w:cs="Times New Roman"/>
              <w:noProof/>
              <w:sz w:val="28"/>
              <w:szCs w:val="28"/>
            </w:rPr>
          </w:pPr>
          <w:hyperlink w:anchor="_Toc503230299" w:history="1">
            <w:r w:rsidR="004B4B12" w:rsidRPr="004B4B12">
              <w:rPr>
                <w:rStyle w:val="af4"/>
                <w:rFonts w:ascii="Times New Roman" w:hAnsi="Times New Roman" w:cs="Times New Roman"/>
                <w:noProof/>
                <w:sz w:val="28"/>
                <w:szCs w:val="28"/>
              </w:rPr>
              <w:t>Введение</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_Toc503230299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6</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12"/>
            <w:tabs>
              <w:tab w:val="left" w:pos="660"/>
              <w:tab w:val="right" w:leader="dot" w:pos="10195"/>
            </w:tabs>
            <w:rPr>
              <w:rFonts w:ascii="Times New Roman" w:hAnsi="Times New Roman" w:cs="Times New Roman"/>
              <w:noProof/>
              <w:sz w:val="28"/>
              <w:szCs w:val="28"/>
            </w:rPr>
          </w:pPr>
          <w:hyperlink w:anchor="_Toc503230300" w:history="1">
            <w:r w:rsidR="004B4B12" w:rsidRPr="004B4B12">
              <w:rPr>
                <w:rStyle w:val="af4"/>
                <w:rFonts w:ascii="Times New Roman" w:hAnsi="Times New Roman" w:cs="Times New Roman"/>
                <w:noProof/>
                <w:sz w:val="28"/>
                <w:szCs w:val="28"/>
              </w:rPr>
              <w:t>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ОСНОВНАЯ ЧАСТЬ</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01" w:history="1">
            <w:r w:rsidR="004B4B12" w:rsidRPr="004B4B12">
              <w:rPr>
                <w:rStyle w:val="af4"/>
                <w:rFonts w:ascii="Times New Roman" w:hAnsi="Times New Roman" w:cs="Times New Roman"/>
                <w:noProof/>
                <w:sz w:val="28"/>
                <w:szCs w:val="28"/>
              </w:rPr>
              <w:t>1.1.</w:t>
            </w:r>
            <w:r w:rsidR="004B4B12" w:rsidRPr="004B4B12">
              <w:rPr>
                <w:rFonts w:ascii="Times New Roman" w:hAnsi="Times New Roman" w:cs="Times New Roman"/>
                <w:noProof/>
                <w:sz w:val="28"/>
                <w:szCs w:val="28"/>
              </w:rPr>
              <w:tab/>
            </w:r>
            <w:r w:rsidR="004B4B12" w:rsidRPr="004B4B12">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_Toc503230301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31"/>
            <w:tabs>
              <w:tab w:val="left" w:pos="1760"/>
              <w:tab w:val="right" w:leader="dot" w:pos="10195"/>
            </w:tabs>
            <w:rPr>
              <w:noProof/>
            </w:rPr>
          </w:pPr>
          <w:hyperlink w:anchor="_Toc503230302" w:history="1">
            <w:r w:rsidR="004B4B12" w:rsidRPr="004B4B12">
              <w:rPr>
                <w:rStyle w:val="af4"/>
                <w:noProof/>
              </w:rPr>
              <w:t>1.1.1.</w:t>
            </w:r>
            <w:r w:rsidR="004B4B12" w:rsidRPr="004B4B12">
              <w:rPr>
                <w:noProof/>
              </w:rPr>
              <w:tab/>
            </w:r>
            <w:r w:rsidR="004B4B12" w:rsidRPr="004B4B12">
              <w:rPr>
                <w:rStyle w:val="af4"/>
                <w:noProof/>
              </w:rPr>
              <w:t>Объекты местного значения сельского поселения в области электроснабжения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_Toc503230302 \h </w:instrText>
            </w:r>
            <w:r w:rsidR="004B4B12" w:rsidRPr="004B4B12">
              <w:rPr>
                <w:noProof/>
                <w:webHidden/>
              </w:rPr>
            </w:r>
            <w:r w:rsidR="004B4B12" w:rsidRPr="004B4B12">
              <w:rPr>
                <w:noProof/>
                <w:webHidden/>
              </w:rPr>
              <w:fldChar w:fldCharType="separate"/>
            </w:r>
            <w:r w:rsidR="00842E4C">
              <w:rPr>
                <w:noProof/>
                <w:webHidden/>
              </w:rPr>
              <w:t>9</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03" w:history="1">
            <w:r w:rsidR="004B4B12" w:rsidRPr="004B4B12">
              <w:rPr>
                <w:rStyle w:val="af4"/>
                <w:noProof/>
              </w:rPr>
              <w:t>1.1.2.</w:t>
            </w:r>
            <w:r w:rsidR="004B4B12" w:rsidRPr="004B4B12">
              <w:rPr>
                <w:noProof/>
              </w:rPr>
              <w:tab/>
            </w:r>
            <w:r w:rsidR="004B4B12" w:rsidRPr="004B4B12">
              <w:rPr>
                <w:rStyle w:val="af4"/>
                <w:noProof/>
              </w:rPr>
              <w:t>Объекты местного значения сельского поселения в области газоснабжения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_Toc503230303 \h </w:instrText>
            </w:r>
            <w:r w:rsidR="004B4B12" w:rsidRPr="004B4B12">
              <w:rPr>
                <w:noProof/>
                <w:webHidden/>
              </w:rPr>
            </w:r>
            <w:r w:rsidR="004B4B12" w:rsidRPr="004B4B12">
              <w:rPr>
                <w:noProof/>
                <w:webHidden/>
              </w:rPr>
              <w:fldChar w:fldCharType="separate"/>
            </w:r>
            <w:r w:rsidR="00842E4C">
              <w:rPr>
                <w:noProof/>
                <w:webHidden/>
              </w:rPr>
              <w:t>17</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04" w:history="1">
            <w:r w:rsidR="004B4B12" w:rsidRPr="004B4B12">
              <w:rPr>
                <w:rStyle w:val="af4"/>
                <w:noProof/>
              </w:rPr>
              <w:t>1.1.3.</w:t>
            </w:r>
            <w:r w:rsidR="004B4B12" w:rsidRPr="004B4B12">
              <w:rPr>
                <w:noProof/>
              </w:rPr>
              <w:tab/>
            </w:r>
            <w:r w:rsidR="004B4B12" w:rsidRPr="004B4B12">
              <w:rPr>
                <w:rStyle w:val="af4"/>
                <w:noProof/>
              </w:rPr>
              <w:t>Объекты местного значения сельского поселения в области теплоснабжения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_Toc503230304 \h </w:instrText>
            </w:r>
            <w:r w:rsidR="004B4B12" w:rsidRPr="004B4B12">
              <w:rPr>
                <w:noProof/>
                <w:webHidden/>
              </w:rPr>
            </w:r>
            <w:r w:rsidR="004B4B12" w:rsidRPr="004B4B12">
              <w:rPr>
                <w:noProof/>
                <w:webHidden/>
              </w:rPr>
              <w:fldChar w:fldCharType="separate"/>
            </w:r>
            <w:r w:rsidR="00842E4C">
              <w:rPr>
                <w:noProof/>
                <w:webHidden/>
              </w:rPr>
              <w:t>22</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05" w:history="1">
            <w:r w:rsidR="004B4B12" w:rsidRPr="004B4B12">
              <w:rPr>
                <w:rStyle w:val="af4"/>
                <w:noProof/>
              </w:rPr>
              <w:t>1.1.4.</w:t>
            </w:r>
            <w:r w:rsidR="004B4B12" w:rsidRPr="004B4B12">
              <w:rPr>
                <w:noProof/>
              </w:rPr>
              <w:tab/>
            </w:r>
            <w:r w:rsidR="004B4B12" w:rsidRPr="004B4B12">
              <w:rPr>
                <w:rStyle w:val="af4"/>
                <w:noProof/>
              </w:rPr>
              <w:t>Объекты местного значения сельского поселения в области водоснабжения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_Toc503230305 \h </w:instrText>
            </w:r>
            <w:r w:rsidR="004B4B12" w:rsidRPr="004B4B12">
              <w:rPr>
                <w:noProof/>
                <w:webHidden/>
              </w:rPr>
            </w:r>
            <w:r w:rsidR="004B4B12" w:rsidRPr="004B4B12">
              <w:rPr>
                <w:noProof/>
                <w:webHidden/>
              </w:rPr>
              <w:fldChar w:fldCharType="separate"/>
            </w:r>
            <w:r w:rsidR="00842E4C">
              <w:rPr>
                <w:noProof/>
                <w:webHidden/>
              </w:rPr>
              <w:t>25</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06" w:history="1">
            <w:r w:rsidR="004B4B12" w:rsidRPr="004B4B12">
              <w:rPr>
                <w:rStyle w:val="af4"/>
                <w:noProof/>
              </w:rPr>
              <w:t>1.1.5.</w:t>
            </w:r>
            <w:r w:rsidR="004B4B12" w:rsidRPr="004B4B12">
              <w:rPr>
                <w:noProof/>
              </w:rPr>
              <w:tab/>
            </w:r>
            <w:r w:rsidR="004B4B12" w:rsidRPr="004B4B12">
              <w:rPr>
                <w:rStyle w:val="af4"/>
                <w:noProof/>
              </w:rPr>
              <w:t>Объекты местного значения сельского поселения в области водоотведения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_Toc503230306 \h </w:instrText>
            </w:r>
            <w:r w:rsidR="004B4B12" w:rsidRPr="004B4B12">
              <w:rPr>
                <w:noProof/>
                <w:webHidden/>
              </w:rPr>
            </w:r>
            <w:r w:rsidR="004B4B12" w:rsidRPr="004B4B12">
              <w:rPr>
                <w:noProof/>
                <w:webHidden/>
              </w:rPr>
              <w:fldChar w:fldCharType="separate"/>
            </w:r>
            <w:r w:rsidR="00842E4C">
              <w:rPr>
                <w:noProof/>
                <w:webHidden/>
              </w:rPr>
              <w:t>30</w:t>
            </w:r>
            <w:r w:rsidR="004B4B12" w:rsidRPr="004B4B12">
              <w:rPr>
                <w:noProof/>
                <w:webHidden/>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07" w:history="1">
            <w:r w:rsidR="004B4B12" w:rsidRPr="004B4B12">
              <w:rPr>
                <w:rStyle w:val="af4"/>
                <w:rFonts w:ascii="Times New Roman" w:hAnsi="Times New Roman" w:cs="Times New Roman"/>
                <w:noProof/>
                <w:sz w:val="28"/>
                <w:szCs w:val="28"/>
              </w:rPr>
              <w:t>1.2.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33</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08" w:history="1">
            <w:r w:rsidR="004B4B12" w:rsidRPr="004B4B12">
              <w:rPr>
                <w:rStyle w:val="af4"/>
                <w:rFonts w:ascii="Times New Roman" w:hAnsi="Times New Roman" w:cs="Times New Roman"/>
                <w:noProof/>
                <w:sz w:val="28"/>
                <w:szCs w:val="28"/>
              </w:rPr>
              <w:t>1.3.</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33</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31"/>
            <w:tabs>
              <w:tab w:val="left" w:pos="1760"/>
              <w:tab w:val="right" w:leader="dot" w:pos="10195"/>
            </w:tabs>
            <w:rPr>
              <w:noProof/>
            </w:rPr>
          </w:pPr>
          <w:hyperlink w:anchor="_Toc503230309" w:history="1">
            <w:r w:rsidR="004B4B12" w:rsidRPr="004B4B12">
              <w:rPr>
                <w:rStyle w:val="af4"/>
                <w:noProof/>
              </w:rPr>
              <w:t>1.3.1.</w:t>
            </w:r>
            <w:r w:rsidR="004B4B12" w:rsidRPr="004B4B12">
              <w:rPr>
                <w:noProof/>
              </w:rPr>
              <w:tab/>
            </w:r>
            <w:r w:rsidR="004B4B12" w:rsidRPr="004B4B12">
              <w:rPr>
                <w:rStyle w:val="af4"/>
                <w:noProof/>
              </w:rPr>
              <w:t xml:space="preserve">Объекты местного значения сельского поселения в области </w:t>
            </w:r>
            <w:r w:rsidR="00842E4C">
              <w:rPr>
                <w:rStyle w:val="af4"/>
                <w:noProof/>
              </w:rPr>
              <w:t xml:space="preserve">               </w:t>
            </w:r>
            <w:r w:rsidR="004B4B12" w:rsidRPr="004B4B12">
              <w:rPr>
                <w:rStyle w:val="af4"/>
                <w:noProof/>
              </w:rPr>
              <w:t>культуры</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_Toc503230309 \h </w:instrText>
            </w:r>
            <w:r w:rsidR="004B4B12" w:rsidRPr="004B4B12">
              <w:rPr>
                <w:noProof/>
                <w:webHidden/>
              </w:rPr>
            </w:r>
            <w:r w:rsidR="004B4B12" w:rsidRPr="004B4B12">
              <w:rPr>
                <w:noProof/>
                <w:webHidden/>
              </w:rPr>
              <w:fldChar w:fldCharType="separate"/>
            </w:r>
            <w:r w:rsidR="00842E4C">
              <w:rPr>
                <w:noProof/>
                <w:webHidden/>
              </w:rPr>
              <w:t>33</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10" w:history="1">
            <w:r w:rsidR="004B4B12" w:rsidRPr="004B4B12">
              <w:rPr>
                <w:rStyle w:val="af4"/>
                <w:noProof/>
              </w:rPr>
              <w:t>1.3.2.</w:t>
            </w:r>
            <w:r w:rsidR="004B4B12" w:rsidRPr="004B4B12">
              <w:rPr>
                <w:noProof/>
              </w:rPr>
              <w:tab/>
            </w:r>
            <w:r w:rsidR="004B4B12" w:rsidRPr="004B4B12">
              <w:rPr>
                <w:rStyle w:val="af4"/>
                <w:noProof/>
              </w:rPr>
              <w:t>Объекты местного значения сельского поселения в области молодежной политики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_Toc503230310 \h </w:instrText>
            </w:r>
            <w:r w:rsidR="004B4B12" w:rsidRPr="004B4B12">
              <w:rPr>
                <w:noProof/>
                <w:webHidden/>
              </w:rPr>
            </w:r>
            <w:r w:rsidR="004B4B12" w:rsidRPr="004B4B12">
              <w:rPr>
                <w:noProof/>
                <w:webHidden/>
              </w:rPr>
              <w:fldChar w:fldCharType="separate"/>
            </w:r>
            <w:r w:rsidR="00842E4C">
              <w:rPr>
                <w:noProof/>
                <w:webHidden/>
              </w:rPr>
              <w:t>35</w:t>
            </w:r>
            <w:r w:rsidR="004B4B12" w:rsidRPr="004B4B12">
              <w:rPr>
                <w:noProof/>
                <w:webHidden/>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11" w:history="1">
            <w:r w:rsidR="004B4B12" w:rsidRPr="004B4B12">
              <w:rPr>
                <w:rStyle w:val="af4"/>
                <w:rFonts w:ascii="Times New Roman" w:hAnsi="Times New Roman" w:cs="Times New Roman"/>
                <w:noProof/>
                <w:sz w:val="28"/>
                <w:szCs w:val="28"/>
              </w:rPr>
              <w:t>1.4.</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_Toc503230311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35</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12" w:history="1">
            <w:r w:rsidR="004B4B12" w:rsidRPr="004B4B12">
              <w:rPr>
                <w:rStyle w:val="af4"/>
                <w:rFonts w:ascii="Times New Roman" w:hAnsi="Times New Roman" w:cs="Times New Roman"/>
                <w:noProof/>
                <w:sz w:val="28"/>
                <w:szCs w:val="28"/>
              </w:rPr>
              <w:t>1.5.</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_Toc503230312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37</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13" w:history="1">
            <w:r w:rsidR="004B4B12" w:rsidRPr="004B4B12">
              <w:rPr>
                <w:rStyle w:val="af4"/>
                <w:rFonts w:ascii="Times New Roman" w:hAnsi="Times New Roman" w:cs="Times New Roman"/>
                <w:noProof/>
                <w:sz w:val="28"/>
                <w:szCs w:val="28"/>
              </w:rPr>
              <w:t>1.6.</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38</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14" w:history="1">
            <w:r w:rsidR="004B4B12" w:rsidRPr="004B4B12">
              <w:rPr>
                <w:rStyle w:val="af4"/>
                <w:rFonts w:ascii="Times New Roman" w:hAnsi="Times New Roman" w:cs="Times New Roman"/>
                <w:noProof/>
                <w:sz w:val="28"/>
                <w:szCs w:val="28"/>
              </w:rPr>
              <w:t>1.7.</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39</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15" w:history="1">
            <w:r w:rsidR="004B4B12" w:rsidRPr="004B4B12">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41</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16" w:history="1">
            <w:r w:rsidR="004B4B12" w:rsidRPr="004B4B12">
              <w:rPr>
                <w:rStyle w:val="af4"/>
                <w:rFonts w:ascii="Times New Roman" w:hAnsi="Times New Roman" w:cs="Times New Roman"/>
                <w:noProof/>
                <w:sz w:val="28"/>
                <w:szCs w:val="28"/>
              </w:rPr>
              <w:t>Объекты, относящиеся к области жилищного строительства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41</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17" w:history="1">
            <w:r w:rsidR="004B4B12" w:rsidRPr="004B4B12">
              <w:rPr>
                <w:rStyle w:val="af4"/>
                <w:rFonts w:ascii="Times New Roman" w:hAnsi="Times New Roman" w:cs="Times New Roman"/>
                <w:noProof/>
                <w:sz w:val="28"/>
                <w:szCs w:val="28"/>
              </w:rPr>
              <w:t>Объекты, относящиеся к области фармацевтики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48</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18" w:history="1">
            <w:r w:rsidR="004B4B12" w:rsidRPr="004B4B12">
              <w:rPr>
                <w:rStyle w:val="af4"/>
                <w:rFonts w:ascii="Times New Roman" w:hAnsi="Times New Roman" w:cs="Times New Roman"/>
                <w:noProof/>
                <w:sz w:val="28"/>
                <w:szCs w:val="28"/>
              </w:rPr>
              <w:t>Объекты, относящиеся к области образования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49</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19" w:history="1">
            <w:r w:rsidR="004B4B12" w:rsidRPr="004B4B12">
              <w:rPr>
                <w:rStyle w:val="af4"/>
                <w:rFonts w:ascii="Times New Roman" w:hAnsi="Times New Roman" w:cs="Times New Roman"/>
                <w:noProof/>
                <w:sz w:val="28"/>
                <w:szCs w:val="28"/>
              </w:rPr>
              <w:t>Объекты, относящиеся к области культуры и искусства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49</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0" w:history="1">
            <w:r w:rsidR="004B4B12" w:rsidRPr="004B4B12">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50</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1" w:history="1">
            <w:r w:rsidR="004B4B12" w:rsidRPr="004B4B12">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_Toc503230321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50</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2" w:history="1">
            <w:r w:rsidR="004B4B12" w:rsidRPr="004B4B12">
              <w:rPr>
                <w:rStyle w:val="af4"/>
                <w:rFonts w:ascii="Times New Roman" w:hAnsi="Times New Roman" w:cs="Times New Roman"/>
                <w:noProof/>
                <w:sz w:val="28"/>
                <w:szCs w:val="28"/>
              </w:rPr>
              <w:t>Объекты, относящиеся к области кредитно-финансового обслуживания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_Toc503230322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3" w:history="1">
            <w:r w:rsidR="004B4B12" w:rsidRPr="004B4B12">
              <w:rPr>
                <w:rStyle w:val="af4"/>
                <w:rFonts w:ascii="Times New Roman" w:hAnsi="Times New Roman" w:cs="Times New Roman"/>
                <w:noProof/>
                <w:sz w:val="28"/>
                <w:szCs w:val="28"/>
              </w:rPr>
              <w:t>Объекты, относящиеся к области почтовой связи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53</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4" w:history="1">
            <w:r w:rsidR="004B4B12" w:rsidRPr="004B4B12">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54</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5" w:history="1">
            <w:r w:rsidR="004B4B12" w:rsidRPr="004B4B12">
              <w:rPr>
                <w:rStyle w:val="af4"/>
                <w:rFonts w:ascii="Times New Roman" w:hAnsi="Times New Roman" w:cs="Times New Roman"/>
                <w:noProof/>
                <w:sz w:val="28"/>
                <w:szCs w:val="28"/>
              </w:rPr>
              <w:t>Объекты в области промышленности и сельского хозяйства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63</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rFonts w:ascii="Times New Roman" w:hAnsi="Times New Roman" w:cs="Times New Roman"/>
              <w:noProof/>
              <w:sz w:val="28"/>
              <w:szCs w:val="28"/>
            </w:rPr>
          </w:pPr>
          <w:hyperlink w:anchor="_Toc503230326" w:history="1">
            <w:r w:rsidR="004B4B12" w:rsidRPr="004B4B12">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69</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12"/>
            <w:tabs>
              <w:tab w:val="left" w:pos="660"/>
              <w:tab w:val="right" w:leader="dot" w:pos="10195"/>
            </w:tabs>
            <w:rPr>
              <w:rFonts w:ascii="Times New Roman" w:hAnsi="Times New Roman" w:cs="Times New Roman"/>
              <w:noProof/>
              <w:sz w:val="28"/>
              <w:szCs w:val="28"/>
            </w:rPr>
          </w:pPr>
          <w:hyperlink w:anchor="_Toc503230327" w:history="1">
            <w:r w:rsidR="004B4B12" w:rsidRPr="004B4B12">
              <w:rPr>
                <w:rStyle w:val="af4"/>
                <w:rFonts w:ascii="Times New Roman" w:hAnsi="Times New Roman" w:cs="Times New Roman"/>
                <w:noProof/>
                <w:sz w:val="28"/>
                <w:szCs w:val="28"/>
              </w:rPr>
              <w:t>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28" w:history="1">
            <w:r w:rsidR="004B4B12" w:rsidRPr="004B4B12">
              <w:rPr>
                <w:rStyle w:val="af4"/>
                <w:rFonts w:ascii="Times New Roman" w:hAnsi="Times New Roman" w:cs="Times New Roman"/>
                <w:noProof/>
                <w:sz w:val="28"/>
                <w:szCs w:val="28"/>
              </w:rPr>
              <w:t>2.1.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Нормативно-правовая база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29" w:history="1">
            <w:r w:rsidR="004B4B12" w:rsidRPr="004B4B12">
              <w:rPr>
                <w:rStyle w:val="af4"/>
                <w:rFonts w:ascii="Times New Roman" w:hAnsi="Times New Roman" w:cs="Times New Roman"/>
                <w:noProof/>
                <w:sz w:val="28"/>
                <w:szCs w:val="28"/>
              </w:rPr>
              <w:t>2.2.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85</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30" w:history="1">
            <w:r w:rsidR="004B4B12" w:rsidRPr="004B4B12">
              <w:rPr>
                <w:rStyle w:val="af4"/>
                <w:rFonts w:ascii="Times New Roman" w:hAnsi="Times New Roman" w:cs="Times New Roman"/>
                <w:noProof/>
                <w:sz w:val="28"/>
                <w:szCs w:val="28"/>
              </w:rPr>
              <w:t>2.3.</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85</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31"/>
            <w:tabs>
              <w:tab w:val="left" w:pos="1760"/>
              <w:tab w:val="right" w:leader="dot" w:pos="10195"/>
            </w:tabs>
            <w:rPr>
              <w:noProof/>
            </w:rPr>
          </w:pPr>
          <w:hyperlink w:anchor="_Toc503230331" w:history="1">
            <w:r w:rsidR="004B4B12" w:rsidRPr="004B4B12">
              <w:rPr>
                <w:rStyle w:val="af4"/>
                <w:noProof/>
              </w:rPr>
              <w:t>2.3.1.</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_Toc503230331 \h </w:instrText>
            </w:r>
            <w:r w:rsidR="004B4B12" w:rsidRPr="004B4B12">
              <w:rPr>
                <w:noProof/>
                <w:webHidden/>
              </w:rPr>
            </w:r>
            <w:r w:rsidR="004B4B12" w:rsidRPr="004B4B12">
              <w:rPr>
                <w:noProof/>
                <w:webHidden/>
              </w:rPr>
              <w:fldChar w:fldCharType="separate"/>
            </w:r>
            <w:r w:rsidR="00842E4C">
              <w:rPr>
                <w:noProof/>
                <w:webHidden/>
              </w:rPr>
              <w:t>85</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32" w:history="1">
            <w:r w:rsidR="004B4B12" w:rsidRPr="004B4B12">
              <w:rPr>
                <w:rStyle w:val="af4"/>
                <w:noProof/>
              </w:rPr>
              <w:t>2.3.2.</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_Toc503230332 \h </w:instrText>
            </w:r>
            <w:r w:rsidR="004B4B12" w:rsidRPr="004B4B12">
              <w:rPr>
                <w:noProof/>
                <w:webHidden/>
              </w:rPr>
            </w:r>
            <w:r w:rsidR="004B4B12" w:rsidRPr="004B4B12">
              <w:rPr>
                <w:noProof/>
                <w:webHidden/>
              </w:rPr>
              <w:fldChar w:fldCharType="separate"/>
            </w:r>
            <w:r w:rsidR="00842E4C">
              <w:rPr>
                <w:noProof/>
                <w:webHidden/>
              </w:rPr>
              <w:t>86</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33" w:history="1">
            <w:r w:rsidR="004B4B12" w:rsidRPr="004B4B12">
              <w:rPr>
                <w:rStyle w:val="af4"/>
                <w:noProof/>
              </w:rPr>
              <w:t>2.3.3.</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_Toc503230333 \h </w:instrText>
            </w:r>
            <w:r w:rsidR="004B4B12" w:rsidRPr="004B4B12">
              <w:rPr>
                <w:noProof/>
                <w:webHidden/>
              </w:rPr>
            </w:r>
            <w:r w:rsidR="004B4B12" w:rsidRPr="004B4B12">
              <w:rPr>
                <w:noProof/>
                <w:webHidden/>
              </w:rPr>
              <w:fldChar w:fldCharType="separate"/>
            </w:r>
            <w:r w:rsidR="00842E4C">
              <w:rPr>
                <w:noProof/>
                <w:webHidden/>
              </w:rPr>
              <w:t>87</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34" w:history="1">
            <w:r w:rsidR="004B4B12" w:rsidRPr="004B4B12">
              <w:rPr>
                <w:rStyle w:val="af4"/>
                <w:noProof/>
              </w:rPr>
              <w:t>2.3.4.</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_Toc503230334 \h </w:instrText>
            </w:r>
            <w:r w:rsidR="004B4B12" w:rsidRPr="004B4B12">
              <w:rPr>
                <w:noProof/>
                <w:webHidden/>
              </w:rPr>
            </w:r>
            <w:r w:rsidR="004B4B12" w:rsidRPr="004B4B12">
              <w:rPr>
                <w:noProof/>
                <w:webHidden/>
              </w:rPr>
              <w:fldChar w:fldCharType="separate"/>
            </w:r>
            <w:r w:rsidR="00842E4C">
              <w:rPr>
                <w:noProof/>
                <w:webHidden/>
              </w:rPr>
              <w:t>88</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35" w:history="1">
            <w:r w:rsidR="004B4B12" w:rsidRPr="004B4B12">
              <w:rPr>
                <w:rStyle w:val="af4"/>
                <w:noProof/>
              </w:rPr>
              <w:t>2.3.5.</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_Toc503230335 \h </w:instrText>
            </w:r>
            <w:r w:rsidR="004B4B12" w:rsidRPr="004B4B12">
              <w:rPr>
                <w:noProof/>
                <w:webHidden/>
              </w:rPr>
            </w:r>
            <w:r w:rsidR="004B4B12" w:rsidRPr="004B4B12">
              <w:rPr>
                <w:noProof/>
                <w:webHidden/>
              </w:rPr>
              <w:fldChar w:fldCharType="separate"/>
            </w:r>
            <w:r w:rsidR="00842E4C">
              <w:rPr>
                <w:noProof/>
                <w:webHidden/>
              </w:rPr>
              <w:t>90</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36" w:history="1">
            <w:r w:rsidR="004B4B12" w:rsidRPr="004B4B12">
              <w:rPr>
                <w:rStyle w:val="af4"/>
                <w:noProof/>
              </w:rPr>
              <w:t>2.3.6.</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_Toc503230336 \h </w:instrText>
            </w:r>
            <w:r w:rsidR="004B4B12" w:rsidRPr="004B4B12">
              <w:rPr>
                <w:noProof/>
                <w:webHidden/>
              </w:rPr>
            </w:r>
            <w:r w:rsidR="004B4B12" w:rsidRPr="004B4B12">
              <w:rPr>
                <w:noProof/>
                <w:webHidden/>
              </w:rPr>
              <w:fldChar w:fldCharType="separate"/>
            </w:r>
            <w:r w:rsidR="00842E4C">
              <w:rPr>
                <w:noProof/>
                <w:webHidden/>
              </w:rPr>
              <w:t>91</w:t>
            </w:r>
            <w:r w:rsidR="004B4B12" w:rsidRPr="004B4B12">
              <w:rPr>
                <w:noProof/>
                <w:webHidden/>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37" w:history="1">
            <w:r w:rsidR="004B4B12" w:rsidRPr="004B4B12">
              <w:rPr>
                <w:rStyle w:val="af4"/>
                <w:rFonts w:ascii="Times New Roman" w:hAnsi="Times New Roman" w:cs="Times New Roman"/>
                <w:noProof/>
                <w:sz w:val="28"/>
                <w:szCs w:val="28"/>
              </w:rPr>
              <w:t>2.4.</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91</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38" w:history="1">
            <w:r w:rsidR="004B4B12" w:rsidRPr="004B4B12">
              <w:rPr>
                <w:rStyle w:val="af4"/>
                <w:rFonts w:ascii="Times New Roman" w:hAnsi="Times New Roman" w:cs="Times New Roman"/>
                <w:noProof/>
                <w:sz w:val="28"/>
                <w:szCs w:val="28"/>
              </w:rPr>
              <w:t>2.5.</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39" w:history="1">
            <w:r w:rsidR="004B4B12" w:rsidRPr="004B4B12">
              <w:rPr>
                <w:rStyle w:val="af4"/>
                <w:rFonts w:ascii="Times New Roman" w:hAnsi="Times New Roman" w:cs="Times New Roman"/>
                <w:noProof/>
                <w:sz w:val="28"/>
                <w:szCs w:val="28"/>
              </w:rPr>
              <w:t>2.6.</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31"/>
            <w:tabs>
              <w:tab w:val="left" w:pos="1760"/>
              <w:tab w:val="right" w:leader="dot" w:pos="10195"/>
            </w:tabs>
            <w:rPr>
              <w:noProof/>
            </w:rPr>
          </w:pPr>
          <w:hyperlink w:anchor="_Toc503230340" w:history="1">
            <w:r w:rsidR="004B4B12" w:rsidRPr="004B4B12">
              <w:rPr>
                <w:rStyle w:val="af4"/>
                <w:noProof/>
              </w:rPr>
              <w:t>2.6.1.</w:t>
            </w:r>
            <w:r w:rsidR="004B4B12" w:rsidRPr="004B4B12">
              <w:rPr>
                <w:noProof/>
              </w:rPr>
              <w:tab/>
            </w:r>
            <w:r w:rsidR="004B4B12" w:rsidRPr="004B4B12">
              <w:rPr>
                <w:rStyle w:val="af4"/>
                <w:noProof/>
              </w:rPr>
              <w:t>Объекты местного значения сельского поселения в области физической культуры и массового спорта</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_Toc503230340 \h </w:instrText>
            </w:r>
            <w:r w:rsidR="004B4B12" w:rsidRPr="004B4B12">
              <w:rPr>
                <w:noProof/>
                <w:webHidden/>
              </w:rPr>
            </w:r>
            <w:r w:rsidR="004B4B12" w:rsidRPr="004B4B12">
              <w:rPr>
                <w:noProof/>
                <w:webHidden/>
              </w:rPr>
              <w:fldChar w:fldCharType="separate"/>
            </w:r>
            <w:r w:rsidR="00842E4C">
              <w:rPr>
                <w:noProof/>
                <w:webHidden/>
              </w:rPr>
              <w:t>93</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41" w:history="1">
            <w:r w:rsidR="004B4B12" w:rsidRPr="004B4B12">
              <w:rPr>
                <w:rStyle w:val="af4"/>
                <w:noProof/>
              </w:rPr>
              <w:t>2.6.2.</w:t>
            </w:r>
            <w:r w:rsidR="004B4B12" w:rsidRPr="004B4B12">
              <w:rPr>
                <w:noProof/>
              </w:rPr>
              <w:tab/>
            </w:r>
            <w:r w:rsidR="004B4B12" w:rsidRPr="004B4B12">
              <w:rPr>
                <w:rStyle w:val="af4"/>
                <w:noProof/>
              </w:rPr>
              <w:t xml:space="preserve">Объекты местного значения сельского поселения в области </w:t>
            </w:r>
            <w:r w:rsidR="00842E4C">
              <w:rPr>
                <w:rStyle w:val="af4"/>
                <w:noProof/>
              </w:rPr>
              <w:t xml:space="preserve">            </w:t>
            </w:r>
            <w:r w:rsidR="004B4B12" w:rsidRPr="004B4B12">
              <w:rPr>
                <w:rStyle w:val="af4"/>
                <w:noProof/>
              </w:rPr>
              <w:t>культуры</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_Toc503230341 \h </w:instrText>
            </w:r>
            <w:r w:rsidR="004B4B12" w:rsidRPr="004B4B12">
              <w:rPr>
                <w:noProof/>
                <w:webHidden/>
              </w:rPr>
            </w:r>
            <w:r w:rsidR="004B4B12" w:rsidRPr="004B4B12">
              <w:rPr>
                <w:noProof/>
                <w:webHidden/>
              </w:rPr>
              <w:fldChar w:fldCharType="separate"/>
            </w:r>
            <w:r w:rsidR="00842E4C">
              <w:rPr>
                <w:noProof/>
                <w:webHidden/>
              </w:rPr>
              <w:t>93</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42" w:history="1">
            <w:r w:rsidR="004B4B12" w:rsidRPr="004B4B12">
              <w:rPr>
                <w:rStyle w:val="af4"/>
                <w:noProof/>
              </w:rPr>
              <w:t>2.6.3.</w:t>
            </w:r>
            <w:r w:rsidR="004B4B12" w:rsidRPr="004B4B12">
              <w:rPr>
                <w:noProof/>
              </w:rPr>
              <w:tab/>
            </w:r>
            <w:r w:rsidR="004B4B12" w:rsidRPr="004B4B12">
              <w:rPr>
                <w:rStyle w:val="af4"/>
                <w:noProof/>
              </w:rPr>
              <w:t>Объекты местного значения сельского поселения в области молодежной политики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_Toc503230342 \h </w:instrText>
            </w:r>
            <w:r w:rsidR="004B4B12" w:rsidRPr="004B4B12">
              <w:rPr>
                <w:noProof/>
                <w:webHidden/>
              </w:rPr>
            </w:r>
            <w:r w:rsidR="004B4B12" w:rsidRPr="004B4B12">
              <w:rPr>
                <w:noProof/>
                <w:webHidden/>
              </w:rPr>
              <w:fldChar w:fldCharType="separate"/>
            </w:r>
            <w:r w:rsidR="00842E4C">
              <w:rPr>
                <w:noProof/>
                <w:webHidden/>
              </w:rPr>
              <w:t>94</w:t>
            </w:r>
            <w:r w:rsidR="004B4B12" w:rsidRPr="004B4B12">
              <w:rPr>
                <w:noProof/>
                <w:webHidden/>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43" w:history="1">
            <w:r w:rsidR="004B4B12" w:rsidRPr="004B4B12">
              <w:rPr>
                <w:rStyle w:val="af4"/>
                <w:rFonts w:ascii="Times New Roman" w:hAnsi="Times New Roman" w:cs="Times New Roman"/>
                <w:noProof/>
                <w:sz w:val="28"/>
                <w:szCs w:val="28"/>
              </w:rPr>
              <w:t>2.7.</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95</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44" w:history="1">
            <w:r w:rsidR="004B4B12" w:rsidRPr="004B4B12">
              <w:rPr>
                <w:rStyle w:val="af4"/>
                <w:rFonts w:ascii="Times New Roman" w:hAnsi="Times New Roman" w:cs="Times New Roman"/>
                <w:noProof/>
                <w:sz w:val="28"/>
                <w:szCs w:val="28"/>
              </w:rPr>
              <w:t>2.8.</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95</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880"/>
              <w:tab w:val="right" w:leader="dot" w:pos="10195"/>
            </w:tabs>
            <w:rPr>
              <w:rFonts w:ascii="Times New Roman" w:hAnsi="Times New Roman" w:cs="Times New Roman"/>
              <w:noProof/>
              <w:sz w:val="28"/>
              <w:szCs w:val="28"/>
            </w:rPr>
          </w:pPr>
          <w:hyperlink w:anchor="_Toc503230345" w:history="1">
            <w:r w:rsidR="004B4B12" w:rsidRPr="004B4B12">
              <w:rPr>
                <w:rStyle w:val="af4"/>
                <w:rFonts w:ascii="Times New Roman" w:hAnsi="Times New Roman" w:cs="Times New Roman"/>
                <w:noProof/>
                <w:sz w:val="28"/>
                <w:szCs w:val="28"/>
              </w:rPr>
              <w:t>2.9.</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96</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46" w:history="1">
            <w:r w:rsidR="004B4B12" w:rsidRPr="004B4B12">
              <w:rPr>
                <w:rStyle w:val="af4"/>
                <w:rFonts w:ascii="Times New Roman" w:hAnsi="Times New Roman" w:cs="Times New Roman"/>
                <w:noProof/>
                <w:sz w:val="28"/>
                <w:szCs w:val="28"/>
              </w:rPr>
              <w:t>2.10.</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97</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47" w:history="1">
            <w:r w:rsidR="004B4B12" w:rsidRPr="004B4B12">
              <w:rPr>
                <w:rStyle w:val="af4"/>
                <w:rFonts w:ascii="Times New Roman" w:hAnsi="Times New Roman" w:cs="Times New Roman"/>
                <w:noProof/>
                <w:sz w:val="28"/>
                <w:szCs w:val="28"/>
              </w:rPr>
              <w:t>2.11.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97</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48" w:history="1">
            <w:r w:rsidR="004B4B12" w:rsidRPr="004B4B12">
              <w:rPr>
                <w:rStyle w:val="af4"/>
                <w:rFonts w:ascii="Times New Roman" w:hAnsi="Times New Roman" w:cs="Times New Roman"/>
                <w:noProof/>
                <w:sz w:val="28"/>
                <w:szCs w:val="28"/>
              </w:rPr>
              <w:t>2.12.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98</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49" w:history="1">
            <w:r w:rsidR="004B4B12" w:rsidRPr="004B4B12">
              <w:rPr>
                <w:rStyle w:val="af4"/>
                <w:rFonts w:ascii="Times New Roman" w:hAnsi="Times New Roman" w:cs="Times New Roman"/>
                <w:noProof/>
                <w:sz w:val="28"/>
                <w:szCs w:val="28"/>
              </w:rPr>
              <w:t>2.13.</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98</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31"/>
            <w:tabs>
              <w:tab w:val="left" w:pos="1760"/>
              <w:tab w:val="right" w:leader="dot" w:pos="10195"/>
            </w:tabs>
            <w:rPr>
              <w:noProof/>
            </w:rPr>
          </w:pPr>
          <w:hyperlink w:anchor="_Toc503230350" w:history="1">
            <w:r w:rsidR="004B4B12" w:rsidRPr="004B4B12">
              <w:rPr>
                <w:rStyle w:val="af4"/>
                <w:noProof/>
              </w:rPr>
              <w:t>2.13.1.</w:t>
            </w:r>
            <w:r w:rsidR="004B4B12" w:rsidRPr="004B4B12">
              <w:rPr>
                <w:noProof/>
              </w:rPr>
              <w:tab/>
            </w:r>
            <w:r w:rsidR="004B4B12" w:rsidRPr="004B4B12">
              <w:rPr>
                <w:rStyle w:val="af4"/>
                <w:noProof/>
              </w:rPr>
              <w:t>Объекты, относящиеся к области жилищного строительства</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_Toc503230350 \h </w:instrText>
            </w:r>
            <w:r w:rsidR="004B4B12" w:rsidRPr="004B4B12">
              <w:rPr>
                <w:noProof/>
                <w:webHidden/>
              </w:rPr>
            </w:r>
            <w:r w:rsidR="004B4B12" w:rsidRPr="004B4B12">
              <w:rPr>
                <w:noProof/>
                <w:webHidden/>
              </w:rPr>
              <w:fldChar w:fldCharType="separate"/>
            </w:r>
            <w:r w:rsidR="00842E4C">
              <w:rPr>
                <w:noProof/>
                <w:webHidden/>
              </w:rPr>
              <w:t>99</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1" w:history="1">
            <w:r w:rsidR="004B4B12" w:rsidRPr="004B4B12">
              <w:rPr>
                <w:rStyle w:val="af4"/>
                <w:noProof/>
              </w:rPr>
              <w:t>2.13.2.</w:t>
            </w:r>
            <w:r w:rsidR="004B4B12" w:rsidRPr="004B4B12">
              <w:rPr>
                <w:noProof/>
              </w:rPr>
              <w:tab/>
            </w:r>
            <w:r w:rsidR="004B4B12" w:rsidRPr="004B4B12">
              <w:rPr>
                <w:rStyle w:val="af4"/>
                <w:noProof/>
              </w:rPr>
              <w:t>Объекты, относящиеся к области фармацевтики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_Toc503230351 \h </w:instrText>
            </w:r>
            <w:r w:rsidR="004B4B12" w:rsidRPr="004B4B12">
              <w:rPr>
                <w:noProof/>
                <w:webHidden/>
              </w:rPr>
            </w:r>
            <w:r w:rsidR="004B4B12" w:rsidRPr="004B4B12">
              <w:rPr>
                <w:noProof/>
                <w:webHidden/>
              </w:rPr>
              <w:fldChar w:fldCharType="separate"/>
            </w:r>
            <w:r w:rsidR="00842E4C">
              <w:rPr>
                <w:noProof/>
                <w:webHidden/>
              </w:rPr>
              <w:t>103</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2" w:history="1">
            <w:r w:rsidR="004B4B12" w:rsidRPr="004B4B12">
              <w:rPr>
                <w:rStyle w:val="af4"/>
                <w:noProof/>
              </w:rPr>
              <w:t>2.13.3.</w:t>
            </w:r>
            <w:r w:rsidR="004B4B12" w:rsidRPr="004B4B12">
              <w:rPr>
                <w:noProof/>
              </w:rPr>
              <w:tab/>
            </w:r>
            <w:r w:rsidR="004B4B12" w:rsidRPr="004B4B12">
              <w:rPr>
                <w:rStyle w:val="af4"/>
                <w:noProof/>
              </w:rPr>
              <w:t>Объекты, относящиеся к области физической культуры и массового спорта</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_Toc503230352 \h </w:instrText>
            </w:r>
            <w:r w:rsidR="004B4B12" w:rsidRPr="004B4B12">
              <w:rPr>
                <w:noProof/>
                <w:webHidden/>
              </w:rPr>
            </w:r>
            <w:r w:rsidR="004B4B12" w:rsidRPr="004B4B12">
              <w:rPr>
                <w:noProof/>
                <w:webHidden/>
              </w:rPr>
              <w:fldChar w:fldCharType="separate"/>
            </w:r>
            <w:r w:rsidR="00842E4C">
              <w:rPr>
                <w:noProof/>
                <w:webHidden/>
              </w:rPr>
              <w:t>103</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3" w:history="1">
            <w:r w:rsidR="004B4B12" w:rsidRPr="004B4B12">
              <w:rPr>
                <w:rStyle w:val="af4"/>
                <w:noProof/>
              </w:rPr>
              <w:t>2.13.4.</w:t>
            </w:r>
            <w:r w:rsidR="004B4B12" w:rsidRPr="004B4B12">
              <w:rPr>
                <w:noProof/>
              </w:rPr>
              <w:tab/>
            </w:r>
            <w:r w:rsidR="004B4B12" w:rsidRPr="004B4B12">
              <w:rPr>
                <w:rStyle w:val="af4"/>
                <w:noProof/>
              </w:rPr>
              <w:t>Объекты, относящиеся к области культуры</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_Toc503230353 \h </w:instrText>
            </w:r>
            <w:r w:rsidR="004B4B12" w:rsidRPr="004B4B12">
              <w:rPr>
                <w:noProof/>
                <w:webHidden/>
              </w:rPr>
            </w:r>
            <w:r w:rsidR="004B4B12" w:rsidRPr="004B4B12">
              <w:rPr>
                <w:noProof/>
                <w:webHidden/>
              </w:rPr>
              <w:fldChar w:fldCharType="separate"/>
            </w:r>
            <w:r w:rsidR="00842E4C">
              <w:rPr>
                <w:noProof/>
                <w:webHidden/>
              </w:rPr>
              <w:t>104</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4" w:history="1">
            <w:r w:rsidR="004B4B12" w:rsidRPr="004B4B12">
              <w:rPr>
                <w:rStyle w:val="af4"/>
                <w:noProof/>
              </w:rPr>
              <w:t>2.13.5.</w:t>
            </w:r>
            <w:r w:rsidR="004B4B12" w:rsidRPr="004B4B12">
              <w:rPr>
                <w:noProof/>
              </w:rPr>
              <w:tab/>
            </w:r>
            <w:r w:rsidR="004B4B12" w:rsidRPr="004B4B12">
              <w:rPr>
                <w:rStyle w:val="af4"/>
                <w:noProof/>
              </w:rPr>
              <w:t>Объекты, относящиеся к области торговли, общественного питания и коммунально-бытового обслуживания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_Toc503230354 \h </w:instrText>
            </w:r>
            <w:r w:rsidR="004B4B12" w:rsidRPr="004B4B12">
              <w:rPr>
                <w:noProof/>
                <w:webHidden/>
              </w:rPr>
            </w:r>
            <w:r w:rsidR="004B4B12" w:rsidRPr="004B4B12">
              <w:rPr>
                <w:noProof/>
                <w:webHidden/>
              </w:rPr>
              <w:fldChar w:fldCharType="separate"/>
            </w:r>
            <w:r w:rsidR="00842E4C">
              <w:rPr>
                <w:noProof/>
                <w:webHidden/>
              </w:rPr>
              <w:t>104</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5" w:history="1">
            <w:r w:rsidR="004B4B12" w:rsidRPr="004B4B12">
              <w:rPr>
                <w:rStyle w:val="af4"/>
                <w:noProof/>
              </w:rPr>
              <w:t>2.13.6.</w:t>
            </w:r>
            <w:r w:rsidR="004B4B12" w:rsidRPr="004B4B12">
              <w:rPr>
                <w:noProof/>
              </w:rPr>
              <w:tab/>
            </w:r>
            <w:r w:rsidR="004B4B12" w:rsidRPr="004B4B12">
              <w:rPr>
                <w:rStyle w:val="af4"/>
                <w:noProof/>
              </w:rPr>
              <w:t>Объекты, относящиеся к области кредитно-финансового обслуживания</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_Toc503230355 \h </w:instrText>
            </w:r>
            <w:r w:rsidR="004B4B12" w:rsidRPr="004B4B12">
              <w:rPr>
                <w:noProof/>
                <w:webHidden/>
              </w:rPr>
            </w:r>
            <w:r w:rsidR="004B4B12" w:rsidRPr="004B4B12">
              <w:rPr>
                <w:noProof/>
                <w:webHidden/>
              </w:rPr>
              <w:fldChar w:fldCharType="separate"/>
            </w:r>
            <w:r w:rsidR="00842E4C">
              <w:rPr>
                <w:noProof/>
                <w:webHidden/>
              </w:rPr>
              <w:t>104</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6" w:history="1">
            <w:r w:rsidR="004B4B12" w:rsidRPr="004B4B12">
              <w:rPr>
                <w:rStyle w:val="af4"/>
                <w:noProof/>
              </w:rPr>
              <w:t>2.13.7.</w:t>
            </w:r>
            <w:r w:rsidR="004B4B12" w:rsidRPr="004B4B12">
              <w:rPr>
                <w:noProof/>
              </w:rPr>
              <w:tab/>
            </w:r>
            <w:r w:rsidR="004B4B12" w:rsidRPr="004B4B12">
              <w:rPr>
                <w:rStyle w:val="af4"/>
                <w:noProof/>
              </w:rPr>
              <w:t>Объекты, относящиеся к области почтовой связи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_Toc503230356 \h </w:instrText>
            </w:r>
            <w:r w:rsidR="004B4B12" w:rsidRPr="004B4B12">
              <w:rPr>
                <w:noProof/>
                <w:webHidden/>
              </w:rPr>
            </w:r>
            <w:r w:rsidR="004B4B12" w:rsidRPr="004B4B12">
              <w:rPr>
                <w:noProof/>
                <w:webHidden/>
              </w:rPr>
              <w:fldChar w:fldCharType="separate"/>
            </w:r>
            <w:r w:rsidR="00842E4C">
              <w:rPr>
                <w:noProof/>
                <w:webHidden/>
              </w:rPr>
              <w:t>105</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7" w:history="1">
            <w:r w:rsidR="004B4B12" w:rsidRPr="004B4B12">
              <w:rPr>
                <w:rStyle w:val="af4"/>
                <w:noProof/>
              </w:rPr>
              <w:t>2.13.8.</w:t>
            </w:r>
            <w:r w:rsidR="004B4B12" w:rsidRPr="004B4B12">
              <w:rPr>
                <w:noProof/>
              </w:rPr>
              <w:tab/>
            </w:r>
            <w:r w:rsidR="004B4B12" w:rsidRPr="004B4B12">
              <w:rPr>
                <w:rStyle w:val="af4"/>
                <w:noProof/>
              </w:rPr>
              <w:t>Объекты в области туризма и рекреации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_Toc503230357 \h </w:instrText>
            </w:r>
            <w:r w:rsidR="004B4B12" w:rsidRPr="004B4B12">
              <w:rPr>
                <w:noProof/>
                <w:webHidden/>
              </w:rPr>
            </w:r>
            <w:r w:rsidR="004B4B12" w:rsidRPr="004B4B12">
              <w:rPr>
                <w:noProof/>
                <w:webHidden/>
              </w:rPr>
              <w:fldChar w:fldCharType="separate"/>
            </w:r>
            <w:r w:rsidR="00842E4C">
              <w:rPr>
                <w:noProof/>
                <w:webHidden/>
              </w:rPr>
              <w:t>105</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58" w:history="1">
            <w:r w:rsidR="004B4B12" w:rsidRPr="004B4B12">
              <w:rPr>
                <w:rStyle w:val="af4"/>
                <w:noProof/>
              </w:rPr>
              <w:t>2.13.9.</w:t>
            </w:r>
            <w:r w:rsidR="004B4B12" w:rsidRPr="004B4B12">
              <w:rPr>
                <w:noProof/>
              </w:rPr>
              <w:tab/>
            </w:r>
            <w:r w:rsidR="004B4B12" w:rsidRPr="004B4B12">
              <w:rPr>
                <w:rStyle w:val="af4"/>
                <w:noProof/>
              </w:rPr>
              <w:t>Объекты, относящиеся к области транспортного обслуживания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_Toc503230358 \h </w:instrText>
            </w:r>
            <w:r w:rsidR="004B4B12" w:rsidRPr="004B4B12">
              <w:rPr>
                <w:noProof/>
                <w:webHidden/>
              </w:rPr>
            </w:r>
            <w:r w:rsidR="004B4B12" w:rsidRPr="004B4B12">
              <w:rPr>
                <w:noProof/>
                <w:webHidden/>
              </w:rPr>
              <w:fldChar w:fldCharType="separate"/>
            </w:r>
            <w:r w:rsidR="00842E4C">
              <w:rPr>
                <w:noProof/>
                <w:webHidden/>
              </w:rPr>
              <w:t>105</w:t>
            </w:r>
            <w:r w:rsidR="004B4B12" w:rsidRPr="004B4B12">
              <w:rPr>
                <w:noProof/>
                <w:webHidden/>
              </w:rPr>
              <w:fldChar w:fldCharType="end"/>
            </w:r>
          </w:hyperlink>
        </w:p>
        <w:p w:rsidR="004B4B12" w:rsidRPr="004B4B12" w:rsidRDefault="00276B2C">
          <w:pPr>
            <w:pStyle w:val="31"/>
            <w:tabs>
              <w:tab w:val="left" w:pos="1839"/>
              <w:tab w:val="right" w:leader="dot" w:pos="10195"/>
            </w:tabs>
            <w:rPr>
              <w:noProof/>
            </w:rPr>
          </w:pPr>
          <w:hyperlink w:anchor="_Toc503230359" w:history="1">
            <w:r w:rsidR="004B4B12" w:rsidRPr="004B4B12">
              <w:rPr>
                <w:rStyle w:val="af4"/>
                <w:noProof/>
              </w:rPr>
              <w:t>2.13.10.</w:t>
            </w:r>
            <w:r w:rsidR="004B4B12" w:rsidRPr="004B4B12">
              <w:rPr>
                <w:noProof/>
              </w:rPr>
              <w:tab/>
            </w:r>
            <w:r w:rsidR="004B4B12" w:rsidRPr="004B4B12">
              <w:rPr>
                <w:rStyle w:val="af4"/>
                <w:noProof/>
              </w:rPr>
              <w:t>Объекты в области промышленности и сельского хозяйства</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_Toc503230359 \h </w:instrText>
            </w:r>
            <w:r w:rsidR="004B4B12" w:rsidRPr="004B4B12">
              <w:rPr>
                <w:noProof/>
                <w:webHidden/>
              </w:rPr>
            </w:r>
            <w:r w:rsidR="004B4B12" w:rsidRPr="004B4B12">
              <w:rPr>
                <w:noProof/>
                <w:webHidden/>
              </w:rPr>
              <w:fldChar w:fldCharType="separate"/>
            </w:r>
            <w:r w:rsidR="00842E4C">
              <w:rPr>
                <w:noProof/>
                <w:webHidden/>
              </w:rPr>
              <w:t>106</w:t>
            </w:r>
            <w:r w:rsidR="004B4B12" w:rsidRPr="004B4B12">
              <w:rPr>
                <w:noProof/>
                <w:webHidden/>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60" w:history="1">
            <w:r w:rsidR="004B4B12" w:rsidRPr="004B4B12">
              <w:rPr>
                <w:rStyle w:val="af4"/>
                <w:rFonts w:ascii="Times New Roman" w:hAnsi="Times New Roman" w:cs="Times New Roman"/>
                <w:noProof/>
                <w:sz w:val="28"/>
                <w:szCs w:val="28"/>
              </w:rPr>
              <w:t>2.14.</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110</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31"/>
            <w:tabs>
              <w:tab w:val="left" w:pos="1760"/>
              <w:tab w:val="right" w:leader="dot" w:pos="10195"/>
            </w:tabs>
            <w:rPr>
              <w:noProof/>
            </w:rPr>
          </w:pPr>
          <w:hyperlink w:anchor="_Toc503230361" w:history="1">
            <w:r w:rsidR="004B4B12" w:rsidRPr="004B4B12">
              <w:rPr>
                <w:rStyle w:val="af4"/>
                <w:noProof/>
              </w:rPr>
              <w:t>2.14.1.</w:t>
            </w:r>
            <w:r w:rsidR="004B4B12" w:rsidRPr="004B4B12">
              <w:rPr>
                <w:noProof/>
              </w:rPr>
              <w:tab/>
            </w:r>
            <w:r w:rsidR="004B4B12" w:rsidRPr="004B4B12">
              <w:rPr>
                <w:rStyle w:val="af4"/>
                <w:noProof/>
              </w:rPr>
              <w:t>Требования по обеспечению охраны окружающей среды</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_Toc503230361 \h </w:instrText>
            </w:r>
            <w:r w:rsidR="004B4B12" w:rsidRPr="004B4B12">
              <w:rPr>
                <w:noProof/>
                <w:webHidden/>
              </w:rPr>
            </w:r>
            <w:r w:rsidR="004B4B12" w:rsidRPr="004B4B12">
              <w:rPr>
                <w:noProof/>
                <w:webHidden/>
              </w:rPr>
              <w:fldChar w:fldCharType="separate"/>
            </w:r>
            <w:r w:rsidR="00842E4C">
              <w:rPr>
                <w:noProof/>
                <w:webHidden/>
              </w:rPr>
              <w:t>110</w:t>
            </w:r>
            <w:r w:rsidR="004B4B12" w:rsidRPr="004B4B12">
              <w:rPr>
                <w:noProof/>
                <w:webHidden/>
              </w:rPr>
              <w:fldChar w:fldCharType="end"/>
            </w:r>
          </w:hyperlink>
        </w:p>
        <w:p w:rsidR="004B4B12" w:rsidRPr="004B4B12" w:rsidRDefault="00276B2C">
          <w:pPr>
            <w:pStyle w:val="31"/>
            <w:tabs>
              <w:tab w:val="left" w:pos="1760"/>
              <w:tab w:val="right" w:leader="dot" w:pos="10195"/>
            </w:tabs>
            <w:rPr>
              <w:noProof/>
            </w:rPr>
          </w:pPr>
          <w:hyperlink w:anchor="_Toc503230362" w:history="1">
            <w:r w:rsidR="004B4B12" w:rsidRPr="004B4B12">
              <w:rPr>
                <w:rStyle w:val="af4"/>
                <w:noProof/>
              </w:rPr>
              <w:t>2.14.2.</w:t>
            </w:r>
            <w:r w:rsidR="004B4B12" w:rsidRPr="004B4B12">
              <w:rPr>
                <w:noProof/>
              </w:rPr>
              <w:tab/>
            </w:r>
            <w:r w:rsidR="004B4B12" w:rsidRPr="004B4B12">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_Toc503230362 \h </w:instrText>
            </w:r>
            <w:r w:rsidR="004B4B12" w:rsidRPr="004B4B12">
              <w:rPr>
                <w:noProof/>
                <w:webHidden/>
              </w:rPr>
            </w:r>
            <w:r w:rsidR="004B4B12" w:rsidRPr="004B4B12">
              <w:rPr>
                <w:noProof/>
                <w:webHidden/>
              </w:rPr>
              <w:fldChar w:fldCharType="separate"/>
            </w:r>
            <w:r w:rsidR="00842E4C">
              <w:rPr>
                <w:noProof/>
                <w:webHidden/>
              </w:rPr>
              <w:t>118</w:t>
            </w:r>
            <w:r w:rsidR="004B4B12" w:rsidRPr="004B4B12">
              <w:rPr>
                <w:noProof/>
                <w:webHidden/>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63" w:history="1">
            <w:r w:rsidR="004B4B12" w:rsidRPr="004B4B12">
              <w:rPr>
                <w:rStyle w:val="af4"/>
                <w:rFonts w:ascii="Times New Roman" w:hAnsi="Times New Roman" w:cs="Times New Roman"/>
                <w:noProof/>
                <w:sz w:val="28"/>
                <w:szCs w:val="28"/>
              </w:rPr>
              <w:t>2.15.</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Требования к охране объектов культурного наследия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122</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left" w:pos="1100"/>
              <w:tab w:val="right" w:leader="dot" w:pos="10195"/>
            </w:tabs>
            <w:rPr>
              <w:rFonts w:ascii="Times New Roman" w:hAnsi="Times New Roman" w:cs="Times New Roman"/>
              <w:noProof/>
              <w:sz w:val="28"/>
              <w:szCs w:val="28"/>
            </w:rPr>
          </w:pPr>
          <w:hyperlink w:anchor="_Toc503230364" w:history="1">
            <w:r w:rsidR="004B4B12" w:rsidRPr="004B4B12">
              <w:rPr>
                <w:rStyle w:val="af4"/>
                <w:rFonts w:ascii="Times New Roman" w:hAnsi="Times New Roman" w:cs="Times New Roman"/>
                <w:noProof/>
                <w:sz w:val="28"/>
                <w:szCs w:val="28"/>
              </w:rPr>
              <w:t>2.16.</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124</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12"/>
            <w:tabs>
              <w:tab w:val="left" w:pos="660"/>
              <w:tab w:val="right" w:leader="dot" w:pos="10195"/>
            </w:tabs>
            <w:rPr>
              <w:rFonts w:ascii="Times New Roman" w:hAnsi="Times New Roman" w:cs="Times New Roman"/>
              <w:noProof/>
              <w:sz w:val="28"/>
              <w:szCs w:val="28"/>
            </w:rPr>
          </w:pPr>
          <w:hyperlink w:anchor="_Toc503230365" w:history="1">
            <w:r w:rsidR="004B4B12" w:rsidRPr="004B4B12">
              <w:rPr>
                <w:rStyle w:val="af4"/>
                <w:rFonts w:ascii="Times New Roman" w:eastAsia="Times New Roman" w:hAnsi="Times New Roman" w:cs="Times New Roman"/>
                <w:noProof/>
                <w:w w:val="99"/>
                <w:sz w:val="28"/>
                <w:szCs w:val="28"/>
              </w:rPr>
              <w:t>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127</w:t>
            </w:r>
            <w:r w:rsidR="004B4B12" w:rsidRPr="004B4B12">
              <w:rPr>
                <w:rFonts w:ascii="Times New Roman" w:hAnsi="Times New Roman" w:cs="Times New Roman"/>
                <w:noProof/>
                <w:webHidden/>
                <w:sz w:val="28"/>
                <w:szCs w:val="28"/>
              </w:rPr>
              <w:fldChar w:fldCharType="end"/>
            </w:r>
          </w:hyperlink>
        </w:p>
        <w:p w:rsidR="004B4B12" w:rsidRPr="004B4B12" w:rsidRDefault="00276B2C">
          <w:pPr>
            <w:pStyle w:val="22"/>
            <w:tabs>
              <w:tab w:val="right" w:leader="dot" w:pos="10195"/>
            </w:tabs>
            <w:rPr>
              <w:noProof/>
            </w:rPr>
          </w:pPr>
          <w:hyperlink w:anchor="_Toc503230366" w:history="1">
            <w:r w:rsidR="004B4B12" w:rsidRPr="004B4B12">
              <w:rPr>
                <w:rStyle w:val="af4"/>
                <w:rFonts w:ascii="Times New Roman" w:hAnsi="Times New Roman" w:cs="Times New Roman"/>
                <w:noProof/>
                <w:sz w:val="28"/>
                <w:szCs w:val="28"/>
              </w:rPr>
              <w:t>ПРИЛОЖЕНИЕ 2. Перечень объектов местного значения поселения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130</w:t>
            </w:r>
            <w:r w:rsidR="004B4B12" w:rsidRPr="004B4B12">
              <w:rPr>
                <w:rFonts w:ascii="Times New Roman" w:hAnsi="Times New Roman" w:cs="Times New Roman"/>
                <w:noProof/>
                <w:webHidden/>
                <w:sz w:val="28"/>
                <w:szCs w:val="28"/>
              </w:rPr>
              <w:fldChar w:fldCharType="end"/>
            </w:r>
          </w:hyperlink>
        </w:p>
        <w:p w:rsidR="004B035C" w:rsidRPr="00394F1F" w:rsidRDefault="00A6663D"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990A70">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8" w:name="_Toc502048381"/>
      <w:bookmarkStart w:id="9" w:name="_Toc503230299"/>
      <w:r w:rsidR="009F26EE" w:rsidRPr="00F1274C">
        <w:rPr>
          <w:rFonts w:ascii="Times New Roman" w:hAnsi="Times New Roman" w:cs="Times New Roman"/>
          <w:color w:val="auto"/>
        </w:rPr>
        <w:t>Введение</w:t>
      </w:r>
      <w:bookmarkEnd w:id="8"/>
      <w:bookmarkEnd w:id="9"/>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DF1786" w:rsidRPr="00DF1786" w:rsidRDefault="00276B2C" w:rsidP="00DF1786">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hyperlink w:anchor="_Toc502048601" w:history="1">
        <w:r w:rsidR="00DF1786" w:rsidRPr="00DF1786">
          <w:rPr>
            <w:rFonts w:ascii="Times New Roman" w:hAnsi="Times New Roman" w:cs="Times New Roman"/>
            <w:sz w:val="28"/>
            <w:szCs w:val="28"/>
          </w:rPr>
          <w:t>объектов, не относящихся к объектам местного значения поселения</w:t>
        </w:r>
      </w:hyperlink>
      <w:r w:rsidR="00DF1786">
        <w:rPr>
          <w:rFonts w:ascii="Times New Roman" w:hAnsi="Times New Roman" w:cs="Times New Roman"/>
          <w:sz w:val="28"/>
          <w:szCs w:val="28"/>
        </w:rPr>
        <w:t>:</w:t>
      </w:r>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2"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жилищного строительства</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3"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фармацевтики</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4"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культуры и искусства</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5"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физической культуры и массового спорта</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6"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торговли, общественного питания, бытового и коммунального обслуживания</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7"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кредитно-финансового обслуживания</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8"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почтовой связи</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09"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дорожной деятельности и транспортного обслуживания</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10"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промышленности и сельского хозяйства</w:t>
        </w:r>
        <w:r w:rsidR="00DF1786" w:rsidRPr="00DF1786">
          <w:rPr>
            <w:rFonts w:ascii="Times New Roman" w:hAnsi="Times New Roman" w:cs="Times New Roman"/>
            <w:webHidden/>
            <w:sz w:val="28"/>
            <w:szCs w:val="28"/>
          </w:rPr>
          <w:tab/>
        </w:r>
      </w:hyperlink>
    </w:p>
    <w:p w:rsidR="00DF1786" w:rsidRPr="00DF1786" w:rsidRDefault="00276B2C" w:rsidP="00DF1786">
      <w:pPr>
        <w:pStyle w:val="ac"/>
        <w:tabs>
          <w:tab w:val="left" w:pos="993"/>
        </w:tabs>
        <w:spacing w:after="0" w:line="240" w:lineRule="auto"/>
        <w:ind w:left="709"/>
        <w:jc w:val="both"/>
        <w:rPr>
          <w:rFonts w:ascii="Times New Roman" w:hAnsi="Times New Roman" w:cs="Times New Roman"/>
          <w:sz w:val="28"/>
          <w:szCs w:val="28"/>
        </w:rPr>
      </w:pPr>
      <w:hyperlink w:anchor="_Toc502048611"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предназначенные для утилизации и переработки бытовых и промышленных отходов</w:t>
        </w:r>
        <w:r w:rsidR="00DF1786" w:rsidRPr="00DF1786">
          <w:rPr>
            <w:rFonts w:ascii="Times New Roman" w:hAnsi="Times New Roman" w:cs="Times New Roman"/>
            <w:webHidden/>
            <w:sz w:val="28"/>
            <w:szCs w:val="28"/>
          </w:rPr>
          <w:tab/>
        </w:r>
      </w:hyperlink>
    </w:p>
    <w:p w:rsidR="00DF1786" w:rsidRDefault="00DF1786" w:rsidP="004D163A">
      <w:pPr>
        <w:spacing w:after="0" w:line="240" w:lineRule="auto"/>
        <w:rPr>
          <w:rFonts w:ascii="Times New Roman" w:hAnsi="Times New Roman" w:cs="Times New Roman"/>
          <w:sz w:val="28"/>
          <w:szCs w:val="28"/>
        </w:rPr>
      </w:pPr>
    </w:p>
    <w:p w:rsidR="00E5087D" w:rsidRPr="006C7125" w:rsidRDefault="00E5087D" w:rsidP="00E5087D">
      <w:pPr>
        <w:pStyle w:val="afd"/>
        <w:ind w:right="113" w:firstLine="720"/>
        <w:rPr>
          <w:rFonts w:eastAsiaTheme="minorHAnsi"/>
          <w:sz w:val="28"/>
          <w:szCs w:val="28"/>
          <w:lang w:eastAsia="en-US"/>
        </w:rPr>
      </w:pPr>
      <w:r w:rsidRPr="006C7125">
        <w:rPr>
          <w:rFonts w:eastAsiaTheme="minorHAnsi"/>
          <w:sz w:val="28"/>
          <w:szCs w:val="28"/>
          <w:lang w:eastAsia="en-US"/>
        </w:rPr>
        <w:t xml:space="preserve">В состав </w:t>
      </w:r>
      <w:r>
        <w:rPr>
          <w:rFonts w:eastAsiaTheme="minorHAnsi"/>
          <w:sz w:val="28"/>
          <w:szCs w:val="28"/>
          <w:lang w:eastAsia="en-US"/>
        </w:rPr>
        <w:t>Глинковского</w:t>
      </w:r>
      <w:r w:rsidRPr="006C7125">
        <w:rPr>
          <w:rFonts w:eastAsiaTheme="minorHAnsi"/>
          <w:sz w:val="28"/>
          <w:szCs w:val="28"/>
          <w:lang w:eastAsia="en-US"/>
        </w:rPr>
        <w:t xml:space="preserve"> района входят следующие </w:t>
      </w:r>
      <w:r w:rsidRPr="00E5087D">
        <w:rPr>
          <w:rFonts w:eastAsiaTheme="minorHAnsi"/>
          <w:b/>
          <w:sz w:val="28"/>
          <w:szCs w:val="28"/>
          <w:lang w:eastAsia="en-US"/>
        </w:rPr>
        <w:t>сельские поселения</w:t>
      </w:r>
      <w:r w:rsidRPr="006C7125">
        <w:rPr>
          <w:rFonts w:eastAsiaTheme="minorHAnsi"/>
          <w:sz w:val="28"/>
          <w:szCs w:val="28"/>
          <w:lang w:eastAsia="en-US"/>
        </w:rPr>
        <w:t>:</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Глинковское</w:t>
      </w:r>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Доброминское</w:t>
      </w:r>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Белохолмское</w:t>
      </w:r>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Бердниковское</w:t>
      </w:r>
      <w:r w:rsidRPr="006C7125">
        <w:rPr>
          <w:rFonts w:ascii="Times New Roman" w:eastAsiaTheme="minorHAnsi" w:hAnsi="Times New Roman" w:cs="Times New Roman"/>
          <w:sz w:val="28"/>
          <w:szCs w:val="28"/>
        </w:rPr>
        <w:t xml:space="preserve"> сельское поселение.</w:t>
      </w:r>
    </w:p>
    <w:p w:rsidR="00E5087D" w:rsidRDefault="00E5087D" w:rsidP="00E5087D">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Болтутинское</w:t>
      </w:r>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Ромодановское</w:t>
      </w:r>
      <w:r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w:t>
      </w:r>
      <w:r w:rsidRPr="00394F1F">
        <w:rPr>
          <w:rFonts w:ascii="Times New Roman" w:hAnsi="Times New Roman" w:cs="Times New Roman"/>
          <w:sz w:val="28"/>
          <w:szCs w:val="28"/>
        </w:rPr>
        <w:lastRenderedPageBreak/>
        <w:t>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 w:name="_Toc502048382"/>
      <w:bookmarkStart w:id="11" w:name="_Toc503230300"/>
      <w:r w:rsidRPr="00394F1F">
        <w:rPr>
          <w:rFonts w:ascii="Times New Roman" w:hAnsi="Times New Roman" w:cs="Times New Roman"/>
          <w:b/>
          <w:sz w:val="28"/>
          <w:szCs w:val="28"/>
        </w:rPr>
        <w:lastRenderedPageBreak/>
        <w:t>ОСНОВНАЯ ЧАСТЬ</w:t>
      </w:r>
      <w:bookmarkEnd w:id="10"/>
      <w:bookmarkEnd w:id="11"/>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2"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03230301"/>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13"/>
      <w:bookmarkEnd w:id="14"/>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03230302"/>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03230303"/>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03230304"/>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9"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20">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03230305"/>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03230306"/>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5" w:name="_Toc502048389"/>
      <w:bookmarkStart w:id="26" w:name="_Toc503230307"/>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5"/>
      <w:bookmarkEnd w:id="26"/>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7" w:name="_Toc502048390"/>
      <w:bookmarkStart w:id="28" w:name="_Toc503230308"/>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7"/>
      <w:bookmarkEnd w:id="28"/>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9" w:name="_Toc502048391"/>
      <w:bookmarkStart w:id="30" w:name="_Toc503230309"/>
      <w:r w:rsidRPr="00394F1F">
        <w:rPr>
          <w:rFonts w:ascii="Times New Roman" w:hAnsi="Times New Roman" w:cs="Times New Roman"/>
          <w:b/>
          <w:sz w:val="28"/>
          <w:szCs w:val="28"/>
        </w:rPr>
        <w:t>Объекты местного значения сельского поселения в области культуры</w:t>
      </w:r>
      <w:bookmarkEnd w:id="29"/>
      <w:bookmarkEnd w:id="30"/>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1" w:name="_Toc502048392"/>
      <w:bookmarkStart w:id="32" w:name="_Toc503230310"/>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1"/>
      <w:bookmarkEnd w:id="32"/>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3" w:name="_Toc502048393"/>
      <w:bookmarkStart w:id="34" w:name="_Toc503230311"/>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3"/>
      <w:bookmarkEnd w:id="34"/>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5" w:name="_Toc502048394"/>
      <w:bookmarkStart w:id="36" w:name="_Toc503230312"/>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5"/>
      <w:bookmarkEnd w:id="36"/>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7" w:name="_Toc502048395"/>
      <w:bookmarkStart w:id="38" w:name="_Toc503230313"/>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7"/>
      <w:bookmarkEnd w:id="38"/>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9" w:name="_Toc502048396"/>
      <w:bookmarkStart w:id="40" w:name="_Toc503230314"/>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9"/>
      <w:bookmarkEnd w:id="40"/>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CC2F24">
        <w:rPr>
          <w:sz w:val="28"/>
          <w:szCs w:val="28"/>
          <w:lang w:val="ru-RU"/>
        </w:rPr>
        <w:t>Глинковского района</w:t>
      </w:r>
      <w:r w:rsidRPr="00394F1F">
        <w:rPr>
          <w:sz w:val="28"/>
          <w:szCs w:val="28"/>
          <w:lang w:val="ru-RU"/>
        </w:rPr>
        <w:t xml:space="preserve">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0323031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1"/>
      <w:bookmarkEnd w:id="42"/>
      <w:bookmarkEnd w:id="43"/>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4" w:name="_Toc502048398"/>
      <w:bookmarkStart w:id="45" w:name="_Toc503230316"/>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4"/>
      <w:bookmarkEnd w:id="45"/>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r w:rsidRPr="00934A91">
              <w:rPr>
                <w:rFonts w:ascii="Times New Roman" w:hAnsi="Times New Roman" w:cs="Times New Roman"/>
                <w:sz w:val="28"/>
                <w:szCs w:val="28"/>
              </w:rPr>
              <w:lastRenderedPageBreak/>
              <w:t>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BD7553" w:rsidRDefault="00BD7553" w:rsidP="0014179D">
      <w:pPr>
        <w:pStyle w:val="a1"/>
        <w:numPr>
          <w:ilvl w:val="0"/>
          <w:numId w:val="0"/>
        </w:numPr>
        <w:ind w:firstLine="709"/>
        <w:jc w:val="both"/>
        <w:rPr>
          <w:b/>
          <w:i/>
          <w:sz w:val="28"/>
          <w:szCs w:val="28"/>
        </w:rPr>
      </w:pP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6" w:name="_Toc502048399"/>
      <w:bookmarkStart w:id="47" w:name="_Toc503230317"/>
      <w:r w:rsidRPr="00A16B24">
        <w:rPr>
          <w:rFonts w:ascii="Times New Roman" w:hAnsi="Times New Roman" w:cs="Times New Roman"/>
          <w:color w:val="auto"/>
          <w:sz w:val="28"/>
          <w:szCs w:val="28"/>
        </w:rPr>
        <w:t>Объекты, относящиеся к области фармацевтики</w:t>
      </w:r>
      <w:bookmarkEnd w:id="46"/>
      <w:bookmarkEnd w:id="47"/>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FD2C1A">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BD7553" w:rsidRDefault="00BD7553" w:rsidP="00A16B24">
      <w:pPr>
        <w:spacing w:after="0" w:line="240" w:lineRule="auto"/>
        <w:ind w:firstLine="709"/>
        <w:rPr>
          <w:rFonts w:ascii="Times New Roman" w:hAnsi="Times New Roman" w:cs="Times New Roman"/>
          <w:sz w:val="28"/>
          <w:szCs w:val="28"/>
        </w:rPr>
      </w:pPr>
    </w:p>
    <w:p w:rsidR="00BD7553" w:rsidRDefault="00BD7553"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BD7553" w:rsidRPr="00A16B24" w:rsidRDefault="00BD7553" w:rsidP="00BD7553">
      <w:pPr>
        <w:pStyle w:val="20"/>
        <w:spacing w:before="0" w:line="240" w:lineRule="auto"/>
        <w:jc w:val="center"/>
        <w:rPr>
          <w:rFonts w:ascii="Times New Roman" w:hAnsi="Times New Roman" w:cs="Times New Roman"/>
          <w:color w:val="auto"/>
          <w:sz w:val="28"/>
          <w:szCs w:val="28"/>
        </w:rPr>
      </w:pPr>
      <w:bookmarkStart w:id="48" w:name="_Toc503230318"/>
      <w:r w:rsidRPr="00A16B24">
        <w:rPr>
          <w:rFonts w:ascii="Times New Roman" w:hAnsi="Times New Roman" w:cs="Times New Roman"/>
          <w:color w:val="auto"/>
          <w:sz w:val="28"/>
          <w:szCs w:val="28"/>
        </w:rPr>
        <w:lastRenderedPageBreak/>
        <w:t xml:space="preserve">Объекты, относящиеся к области </w:t>
      </w:r>
      <w:r w:rsidRPr="00BD7553">
        <w:rPr>
          <w:rFonts w:ascii="Times New Roman" w:hAnsi="Times New Roman" w:cs="Times New Roman"/>
          <w:color w:val="auto"/>
          <w:sz w:val="28"/>
          <w:szCs w:val="28"/>
        </w:rPr>
        <w:t>образования</w:t>
      </w:r>
      <w:bookmarkEnd w:id="48"/>
    </w:p>
    <w:p w:rsidR="00BD7553" w:rsidRDefault="00BD7553" w:rsidP="00BD7553">
      <w:pPr>
        <w:pStyle w:val="a1"/>
        <w:numPr>
          <w:ilvl w:val="0"/>
          <w:numId w:val="0"/>
        </w:numPr>
        <w:ind w:firstLine="709"/>
        <w:jc w:val="both"/>
        <w:rPr>
          <w:b/>
          <w:i/>
          <w:sz w:val="28"/>
          <w:szCs w:val="28"/>
        </w:rPr>
      </w:pPr>
    </w:p>
    <w:tbl>
      <w:tblPr>
        <w:tblW w:w="12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9"/>
        <w:gridCol w:w="3782"/>
        <w:gridCol w:w="4437"/>
      </w:tblGrid>
      <w:tr w:rsidR="00BD7553" w:rsidRPr="00BD7553" w:rsidTr="001C580B">
        <w:trPr>
          <w:jc w:val="center"/>
        </w:trPr>
        <w:tc>
          <w:tcPr>
            <w:tcW w:w="1688" w:type="pct"/>
            <w:vAlign w:val="center"/>
          </w:tcPr>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 xml:space="preserve">Предприятия и учреждения </w:t>
            </w:r>
          </w:p>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повседневного обслуживания</w:t>
            </w:r>
          </w:p>
        </w:tc>
        <w:tc>
          <w:tcPr>
            <w:tcW w:w="1524" w:type="pct"/>
            <w:vAlign w:val="center"/>
          </w:tcPr>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Единицы измерения</w:t>
            </w:r>
          </w:p>
        </w:tc>
        <w:tc>
          <w:tcPr>
            <w:tcW w:w="1788" w:type="pct"/>
            <w:vAlign w:val="center"/>
          </w:tcPr>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 xml:space="preserve">Минимальная </w:t>
            </w:r>
          </w:p>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обеспеченность</w:t>
            </w:r>
          </w:p>
        </w:tc>
      </w:tr>
      <w:tr w:rsidR="00BD7553" w:rsidRPr="00BD7553" w:rsidTr="001C580B">
        <w:trPr>
          <w:jc w:val="center"/>
        </w:trPr>
        <w:tc>
          <w:tcPr>
            <w:tcW w:w="1688" w:type="pct"/>
          </w:tcPr>
          <w:p w:rsidR="00BD7553" w:rsidRPr="00BD7553" w:rsidRDefault="00BD7553" w:rsidP="001C580B">
            <w:pPr>
              <w:spacing w:line="240" w:lineRule="auto"/>
              <w:rPr>
                <w:rFonts w:ascii="Times New Roman" w:hAnsi="Times New Roman" w:cs="Times New Roman"/>
                <w:b/>
                <w:bCs/>
                <w:sz w:val="28"/>
                <w:szCs w:val="28"/>
              </w:rPr>
            </w:pPr>
            <w:r w:rsidRPr="00BD7553">
              <w:rPr>
                <w:rFonts w:ascii="Times New Roman" w:hAnsi="Times New Roman" w:cs="Times New Roman"/>
                <w:sz w:val="28"/>
                <w:szCs w:val="28"/>
              </w:rPr>
              <w:t xml:space="preserve">Дошкольные организации </w:t>
            </w:r>
          </w:p>
        </w:tc>
        <w:tc>
          <w:tcPr>
            <w:tcW w:w="1524" w:type="pct"/>
          </w:tcPr>
          <w:p w:rsidR="00BD7553" w:rsidRPr="00BD7553" w:rsidRDefault="00BD7553" w:rsidP="001C580B">
            <w:pPr>
              <w:spacing w:line="240" w:lineRule="auto"/>
              <w:jc w:val="center"/>
              <w:rPr>
                <w:rFonts w:ascii="Times New Roman" w:hAnsi="Times New Roman" w:cs="Times New Roman"/>
                <w:b/>
                <w:bCs/>
                <w:sz w:val="28"/>
                <w:szCs w:val="28"/>
              </w:rPr>
            </w:pPr>
            <w:r w:rsidRPr="00BD7553">
              <w:rPr>
                <w:rFonts w:ascii="Times New Roman" w:hAnsi="Times New Roman" w:cs="Times New Roman"/>
                <w:sz w:val="28"/>
                <w:szCs w:val="28"/>
              </w:rPr>
              <w:t>мест на 1000 жителей</w:t>
            </w:r>
          </w:p>
        </w:tc>
        <w:tc>
          <w:tcPr>
            <w:tcW w:w="1788" w:type="pct"/>
            <w:vAlign w:val="center"/>
          </w:tcPr>
          <w:p w:rsidR="00BD7553" w:rsidRPr="00BD7553" w:rsidRDefault="00BD7553" w:rsidP="001C580B">
            <w:pPr>
              <w:spacing w:line="238" w:lineRule="auto"/>
              <w:ind w:left="-57" w:right="-57"/>
              <w:jc w:val="center"/>
              <w:rPr>
                <w:rFonts w:ascii="Times New Roman" w:hAnsi="Times New Roman" w:cs="Times New Roman"/>
                <w:b/>
                <w:bCs/>
                <w:sz w:val="28"/>
                <w:szCs w:val="28"/>
              </w:rPr>
            </w:pPr>
            <w:r w:rsidRPr="00BD7553">
              <w:rPr>
                <w:rFonts w:ascii="Times New Roman" w:hAnsi="Times New Roman" w:cs="Times New Roman"/>
                <w:sz w:val="28"/>
                <w:szCs w:val="28"/>
              </w:rPr>
              <w:t xml:space="preserve">По демографической структуре охват 70 % от возрастной группы от 0-7 лет – ориентировочно 40; </w:t>
            </w:r>
          </w:p>
          <w:p w:rsidR="00BD7553" w:rsidRPr="00BD7553" w:rsidRDefault="00BD7553" w:rsidP="001C580B">
            <w:pPr>
              <w:spacing w:line="238" w:lineRule="auto"/>
              <w:ind w:left="-57" w:right="-57"/>
              <w:jc w:val="center"/>
              <w:rPr>
                <w:rFonts w:ascii="Times New Roman" w:hAnsi="Times New Roman" w:cs="Times New Roman"/>
                <w:b/>
                <w:bCs/>
                <w:sz w:val="28"/>
                <w:szCs w:val="28"/>
              </w:rPr>
            </w:pPr>
            <w:r w:rsidRPr="00BD7553">
              <w:rPr>
                <w:rFonts w:ascii="Times New Roman" w:hAnsi="Times New Roman" w:cs="Times New Roman"/>
                <w:sz w:val="28"/>
                <w:szCs w:val="28"/>
              </w:rPr>
              <w:t>охват 85 % – ориентировочно 49</w:t>
            </w:r>
          </w:p>
        </w:tc>
      </w:tr>
      <w:tr w:rsidR="00BD7553" w:rsidRPr="00BD7553" w:rsidTr="001C580B">
        <w:trPr>
          <w:trHeight w:val="984"/>
          <w:jc w:val="center"/>
        </w:trPr>
        <w:tc>
          <w:tcPr>
            <w:tcW w:w="1688" w:type="pct"/>
          </w:tcPr>
          <w:p w:rsidR="00BD7553" w:rsidRPr="00BD7553" w:rsidRDefault="00BD7553" w:rsidP="001C580B">
            <w:pPr>
              <w:spacing w:line="240" w:lineRule="auto"/>
              <w:rPr>
                <w:rFonts w:ascii="Times New Roman" w:hAnsi="Times New Roman" w:cs="Times New Roman"/>
                <w:b/>
                <w:bCs/>
                <w:sz w:val="28"/>
                <w:szCs w:val="28"/>
              </w:rPr>
            </w:pPr>
            <w:r w:rsidRPr="00BD7553">
              <w:rPr>
                <w:rFonts w:ascii="Times New Roman" w:hAnsi="Times New Roman" w:cs="Times New Roman"/>
                <w:sz w:val="28"/>
                <w:szCs w:val="28"/>
              </w:rPr>
              <w:t>Общеобразовательные учреждения</w:t>
            </w:r>
          </w:p>
        </w:tc>
        <w:tc>
          <w:tcPr>
            <w:tcW w:w="1524" w:type="pct"/>
          </w:tcPr>
          <w:p w:rsidR="00BD7553" w:rsidRPr="00BD7553" w:rsidRDefault="00BD7553" w:rsidP="001C580B">
            <w:pPr>
              <w:spacing w:line="240" w:lineRule="auto"/>
              <w:jc w:val="center"/>
              <w:rPr>
                <w:rFonts w:ascii="Times New Roman" w:hAnsi="Times New Roman" w:cs="Times New Roman"/>
                <w:b/>
                <w:bCs/>
                <w:sz w:val="28"/>
                <w:szCs w:val="28"/>
              </w:rPr>
            </w:pPr>
            <w:r w:rsidRPr="00BD7553">
              <w:rPr>
                <w:rFonts w:ascii="Times New Roman" w:hAnsi="Times New Roman" w:cs="Times New Roman"/>
                <w:sz w:val="28"/>
                <w:szCs w:val="28"/>
              </w:rPr>
              <w:t>мест на 1000 жителей</w:t>
            </w:r>
          </w:p>
        </w:tc>
        <w:tc>
          <w:tcPr>
            <w:tcW w:w="1788" w:type="pct"/>
            <w:vAlign w:val="center"/>
          </w:tcPr>
          <w:p w:rsidR="00BD7553" w:rsidRPr="00BD7553" w:rsidRDefault="00BD7553" w:rsidP="001C580B">
            <w:pPr>
              <w:spacing w:line="238" w:lineRule="auto"/>
              <w:ind w:left="-57" w:right="-57"/>
              <w:jc w:val="center"/>
              <w:rPr>
                <w:rFonts w:ascii="Times New Roman" w:hAnsi="Times New Roman" w:cs="Times New Roman"/>
                <w:b/>
                <w:bCs/>
                <w:sz w:val="28"/>
                <w:szCs w:val="28"/>
              </w:rPr>
            </w:pPr>
            <w:r w:rsidRPr="00BD7553">
              <w:rPr>
                <w:rFonts w:ascii="Times New Roman" w:hAnsi="Times New Roman" w:cs="Times New Roman"/>
                <w:sz w:val="28"/>
                <w:szCs w:val="28"/>
              </w:rPr>
              <w:t>По демографической структуре охват 100 % от возрастной группы от 7-18 лет – ориентировочно 71</w:t>
            </w:r>
          </w:p>
        </w:tc>
      </w:tr>
    </w:tbl>
    <w:p w:rsidR="00BD7553" w:rsidRDefault="00BD7553"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0"/>
      <w:bookmarkStart w:id="50" w:name="_Toc503230319"/>
      <w:r w:rsidRPr="00A16B24">
        <w:rPr>
          <w:rFonts w:ascii="Times New Roman" w:hAnsi="Times New Roman" w:cs="Times New Roman"/>
          <w:color w:val="auto"/>
          <w:sz w:val="28"/>
          <w:szCs w:val="28"/>
        </w:rPr>
        <w:t>Объекты, относящиеся к области культуры и искусства</w:t>
      </w:r>
      <w:bookmarkEnd w:id="49"/>
      <w:bookmarkEnd w:id="50"/>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1"/>
      <w:bookmarkStart w:id="52" w:name="_Toc503230320"/>
      <w:r w:rsidRPr="00A16B24">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51"/>
      <w:bookmarkEnd w:id="5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2"/>
      <w:bookmarkStart w:id="54" w:name="_Toc503230321"/>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3"/>
      <w:bookmarkEnd w:id="54"/>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3"/>
      <w:bookmarkStart w:id="56" w:name="_Toc503230322"/>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5"/>
      <w:bookmarkEnd w:id="56"/>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индивидуальная и малоэтажная </w:t>
            </w:r>
            <w:r w:rsidRPr="00050DDB">
              <w:rPr>
                <w:rFonts w:ascii="Times New Roman" w:hAnsi="Times New Roman" w:cs="Times New Roman"/>
                <w:sz w:val="28"/>
                <w:szCs w:val="28"/>
              </w:rPr>
              <w:lastRenderedPageBreak/>
              <w:t>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7" w:name="_Toc502048404"/>
      <w:bookmarkStart w:id="58" w:name="_Toc503230323"/>
      <w:r w:rsidRPr="00A16B24">
        <w:rPr>
          <w:rFonts w:ascii="Times New Roman" w:hAnsi="Times New Roman" w:cs="Times New Roman"/>
          <w:color w:val="auto"/>
          <w:sz w:val="28"/>
          <w:szCs w:val="28"/>
        </w:rPr>
        <w:t>Объекты, относящиеся к области почтовой связи</w:t>
      </w:r>
      <w:bookmarkEnd w:id="57"/>
      <w:bookmarkEnd w:id="58"/>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9" w:name="_Toc502048405"/>
      <w:bookmarkStart w:id="60" w:name="_Toc503230324"/>
      <w:r w:rsidRPr="00B82C1F">
        <w:rPr>
          <w:rFonts w:ascii="Times New Roman" w:hAnsi="Times New Roman" w:cs="Times New Roman"/>
          <w:color w:val="auto"/>
          <w:sz w:val="28"/>
          <w:szCs w:val="28"/>
        </w:rPr>
        <w:lastRenderedPageBreak/>
        <w:t>Объекты в области дорожной деятельности и транспортного обслуживания</w:t>
      </w:r>
      <w:bookmarkEnd w:id="59"/>
      <w:bookmarkEnd w:id="60"/>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w:t>
            </w:r>
            <w:r>
              <w:rPr>
                <w:rFonts w:ascii="Times New Roman" w:hAnsi="Times New Roman" w:cs="Times New Roman"/>
                <w:bCs/>
                <w:sz w:val="28"/>
                <w:szCs w:val="28"/>
              </w:rPr>
              <w:lastRenderedPageBreak/>
              <w:t>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61" w:name="Par1082"/>
            <w:bookmarkEnd w:id="61"/>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lastRenderedPageBreak/>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2" w:name="_Toc502048406"/>
      <w:bookmarkStart w:id="63" w:name="_Toc503230325"/>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2"/>
      <w:bookmarkEnd w:id="63"/>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D809FF">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D809FF">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4" w:name="_Toc502048407"/>
      <w:bookmarkStart w:id="65" w:name="_Toc503230326"/>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4"/>
      <w:bookmarkEnd w:id="65"/>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6" w:name="_Toc502048408"/>
      <w:bookmarkStart w:id="67" w:name="_Toc503230327"/>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6"/>
      <w:bookmarkEnd w:id="67"/>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8" w:name="_Toc502048409"/>
      <w:bookmarkStart w:id="69" w:name="_Toc503230328"/>
      <w:r>
        <w:rPr>
          <w:rFonts w:ascii="Times New Roman" w:hAnsi="Times New Roman" w:cs="Times New Roman"/>
          <w:b/>
          <w:sz w:val="28"/>
          <w:szCs w:val="28"/>
        </w:rPr>
        <w:t>Нормативно-правовая база</w:t>
      </w:r>
      <w:bookmarkEnd w:id="68"/>
      <w:bookmarkEnd w:id="6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276B2C" w:rsidP="00B91405">
      <w:pPr>
        <w:pStyle w:val="afd"/>
        <w:numPr>
          <w:ilvl w:val="0"/>
          <w:numId w:val="12"/>
        </w:numPr>
        <w:tabs>
          <w:tab w:val="left" w:pos="1134"/>
        </w:tabs>
        <w:spacing w:after="0"/>
        <w:ind w:left="0" w:right="107" w:firstLine="709"/>
        <w:jc w:val="both"/>
        <w:rPr>
          <w:sz w:val="28"/>
          <w:szCs w:val="28"/>
        </w:rPr>
      </w:pPr>
      <w:hyperlink r:id="rId21"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276B2C" w:rsidP="00B1792E">
      <w:pPr>
        <w:pStyle w:val="afd"/>
        <w:numPr>
          <w:ilvl w:val="0"/>
          <w:numId w:val="12"/>
        </w:numPr>
        <w:tabs>
          <w:tab w:val="left" w:pos="1134"/>
        </w:tabs>
        <w:spacing w:after="0"/>
        <w:ind w:left="0" w:right="107" w:firstLine="709"/>
        <w:jc w:val="both"/>
        <w:rPr>
          <w:sz w:val="28"/>
          <w:szCs w:val="28"/>
        </w:rPr>
      </w:pPr>
      <w:hyperlink r:id="rId22"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70" w:name="_bookmark10"/>
      <w:bookmarkEnd w:id="70"/>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1" w:name="_Toc491876296"/>
      <w:bookmarkStart w:id="72" w:name="_Toc502048410"/>
      <w:bookmarkStart w:id="73" w:name="_Toc503230329"/>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71"/>
      <w:bookmarkEnd w:id="72"/>
      <w:bookmarkEnd w:id="73"/>
    </w:p>
    <w:p w:rsidR="00C2417D" w:rsidRPr="00394F1F" w:rsidRDefault="00C2417D" w:rsidP="004D163A">
      <w:pPr>
        <w:pStyle w:val="afd"/>
        <w:spacing w:after="0"/>
        <w:ind w:right="113"/>
        <w:rPr>
          <w:sz w:val="28"/>
          <w:szCs w:val="28"/>
        </w:rPr>
      </w:pPr>
    </w:p>
    <w:p w:rsidR="00BE1891" w:rsidRPr="006C7125" w:rsidRDefault="00BE1891" w:rsidP="00BE1891">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6C7125">
        <w:rPr>
          <w:rFonts w:ascii="Times New Roman" w:hAnsi="Times New Roman" w:cs="Times New Roman"/>
          <w:sz w:val="28"/>
          <w:szCs w:val="28"/>
        </w:rPr>
        <w:t>Муниципальное образование «</w:t>
      </w:r>
      <w:r>
        <w:rPr>
          <w:rFonts w:ascii="Times New Roman" w:hAnsi="Times New Roman" w:cs="Times New Roman"/>
          <w:sz w:val="28"/>
          <w:szCs w:val="28"/>
        </w:rPr>
        <w:t>Глинковский</w:t>
      </w:r>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2 </w:t>
      </w:r>
      <w:r w:rsidRPr="006C7125">
        <w:rPr>
          <w:rFonts w:ascii="Times New Roman" w:eastAsia="Calibri" w:hAnsi="Times New Roman" w:cs="Times New Roman"/>
          <w:sz w:val="28"/>
          <w:szCs w:val="28"/>
        </w:rPr>
        <w:t>Закон</w:t>
      </w:r>
      <w:r>
        <w:rPr>
          <w:rFonts w:ascii="Times New Roman" w:hAnsi="Times New Roman" w:cs="Times New Roman"/>
          <w:sz w:val="28"/>
          <w:szCs w:val="28"/>
        </w:rPr>
        <w:t>а</w:t>
      </w:r>
      <w:r w:rsidRPr="006C7125">
        <w:rPr>
          <w:rFonts w:ascii="Times New Roman" w:eastAsia="Calibri" w:hAnsi="Times New Roman" w:cs="Times New Roman"/>
          <w:sz w:val="28"/>
          <w:szCs w:val="28"/>
        </w:rPr>
        <w:t xml:space="preserve"> Смоленской области от 2 декабря </w:t>
      </w:r>
      <w:smartTag w:uri="urn:schemas-microsoft-com:office:smarttags" w:element="metricconverter">
        <w:smartTagPr>
          <w:attr w:name="ProductID" w:val="2004 г"/>
        </w:smartTagPr>
        <w:r w:rsidRPr="006C7125">
          <w:rPr>
            <w:rFonts w:ascii="Times New Roman" w:eastAsia="Calibri" w:hAnsi="Times New Roman" w:cs="Times New Roman"/>
            <w:sz w:val="28"/>
            <w:szCs w:val="28"/>
          </w:rPr>
          <w:t>2004 г</w:t>
        </w:r>
      </w:smartTag>
      <w:r w:rsidRPr="006C7125">
        <w:rPr>
          <w:rFonts w:ascii="Times New Roman" w:eastAsia="Calibri" w:hAnsi="Times New Roman" w:cs="Times New Roman"/>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
    <w:p w:rsidR="00BE1891" w:rsidRPr="006C7125" w:rsidRDefault="00BE1891" w:rsidP="00BE1891">
      <w:pPr>
        <w:pStyle w:val="afd"/>
        <w:ind w:right="113" w:firstLine="720"/>
        <w:rPr>
          <w:rFonts w:eastAsiaTheme="minorHAnsi"/>
          <w:sz w:val="28"/>
          <w:szCs w:val="28"/>
          <w:lang w:eastAsia="en-US"/>
        </w:rPr>
      </w:pPr>
      <w:r w:rsidRPr="006C7125">
        <w:rPr>
          <w:rFonts w:eastAsiaTheme="minorHAnsi"/>
          <w:sz w:val="28"/>
          <w:szCs w:val="28"/>
          <w:lang w:eastAsia="en-US"/>
        </w:rPr>
        <w:t xml:space="preserve">В состав </w:t>
      </w:r>
      <w:r>
        <w:rPr>
          <w:rFonts w:eastAsiaTheme="minorHAnsi"/>
          <w:sz w:val="28"/>
          <w:szCs w:val="28"/>
          <w:lang w:eastAsia="en-US"/>
        </w:rPr>
        <w:t>Глинковского</w:t>
      </w:r>
      <w:r w:rsidRPr="006C7125">
        <w:rPr>
          <w:rFonts w:eastAsiaTheme="minorHAnsi"/>
          <w:sz w:val="28"/>
          <w:szCs w:val="28"/>
          <w:lang w:eastAsia="en-US"/>
        </w:rPr>
        <w:t xml:space="preserve"> района входят следующие поселения:</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Глинковское</w:t>
      </w:r>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Доброминское</w:t>
      </w:r>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Белохолмское</w:t>
      </w:r>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Бердниковское</w:t>
      </w:r>
      <w:r w:rsidRPr="006C7125">
        <w:rPr>
          <w:rFonts w:ascii="Times New Roman" w:eastAsiaTheme="minorHAnsi" w:hAnsi="Times New Roman" w:cs="Times New Roman"/>
          <w:sz w:val="28"/>
          <w:szCs w:val="28"/>
        </w:rPr>
        <w:t xml:space="preserve"> сельское поселение.</w:t>
      </w:r>
    </w:p>
    <w:p w:rsidR="00BE1891" w:rsidRDefault="00BE1891" w:rsidP="00BE1891">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Болтутинское</w:t>
      </w:r>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r>
        <w:rPr>
          <w:rFonts w:ascii="Times New Roman" w:eastAsiaTheme="minorHAnsi" w:hAnsi="Times New Roman" w:cs="Times New Roman"/>
          <w:sz w:val="28"/>
          <w:szCs w:val="28"/>
        </w:rPr>
        <w:t>Ромодановское</w:t>
      </w:r>
      <w:r w:rsidRPr="006C7125">
        <w:rPr>
          <w:rFonts w:ascii="Times New Roman" w:eastAsiaTheme="minorHAnsi" w:hAnsi="Times New Roman" w:cs="Times New Roman"/>
          <w:sz w:val="28"/>
          <w:szCs w:val="28"/>
        </w:rPr>
        <w:t xml:space="preserve"> сельское поселение.</w:t>
      </w:r>
    </w:p>
    <w:p w:rsidR="00C2417D" w:rsidRDefault="00C2417D" w:rsidP="004D163A">
      <w:pPr>
        <w:pStyle w:val="afd"/>
        <w:spacing w:after="0"/>
        <w:ind w:right="105"/>
        <w:rPr>
          <w:sz w:val="28"/>
          <w:szCs w:val="28"/>
        </w:rPr>
      </w:pPr>
    </w:p>
    <w:p w:rsidR="00BE1891" w:rsidRPr="004B035C" w:rsidRDefault="00BE1891"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4" w:name="_bookmark12"/>
      <w:bookmarkStart w:id="75" w:name="_Toc491876304"/>
      <w:bookmarkStart w:id="76" w:name="_Toc502048411"/>
      <w:bookmarkStart w:id="77" w:name="_Toc503230330"/>
      <w:bookmarkEnd w:id="74"/>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5"/>
      <w:bookmarkEnd w:id="76"/>
      <w:bookmarkEnd w:id="77"/>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8" w:name="_Toc502048412"/>
      <w:bookmarkStart w:id="79" w:name="_Toc50323033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8"/>
      <w:bookmarkEnd w:id="79"/>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w:t>
      </w:r>
      <w:r w:rsidRPr="00394F1F">
        <w:rPr>
          <w:rFonts w:ascii="Times New Roman" w:hAnsi="Times New Roman" w:cs="Times New Roman"/>
          <w:sz w:val="28"/>
          <w:szCs w:val="28"/>
        </w:rPr>
        <w:lastRenderedPageBreak/>
        <w:t>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5">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6">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80" w:name="_Toc502048413"/>
      <w:bookmarkStart w:id="81" w:name="_Toc503230332"/>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80"/>
      <w:bookmarkEnd w:id="81"/>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lastRenderedPageBreak/>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2" w:name="_Toc502048414"/>
      <w:bookmarkStart w:id="83" w:name="_Toc503230333"/>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2"/>
      <w:bookmarkEnd w:id="83"/>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CC2F24">
        <w:rPr>
          <w:sz w:val="28"/>
          <w:szCs w:val="28"/>
        </w:rPr>
        <w:t>Глинковского района</w:t>
      </w:r>
      <w:r w:rsidRPr="00394F1F">
        <w:rPr>
          <w:sz w:val="28"/>
          <w:szCs w:val="28"/>
        </w:rPr>
        <w:t xml:space="preserve"> согласно СП 131.13330.2012 приведены ниже</w:t>
      </w:r>
      <w:bookmarkStart w:id="84" w:name="_bookmark20"/>
      <w:bookmarkEnd w:id="84"/>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5" w:name="_Toc502048415"/>
      <w:bookmarkStart w:id="86" w:name="_Toc503230334"/>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5"/>
      <w:bookmarkEnd w:id="86"/>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lastRenderedPageBreak/>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7" w:name="_bookmark21"/>
            <w:bookmarkEnd w:id="87"/>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8" w:name="_bookmark22"/>
      <w:bookmarkEnd w:id="88"/>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9" w:name="_Toc502048416"/>
      <w:bookmarkStart w:id="90" w:name="_Toc503230335"/>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9"/>
      <w:bookmarkEnd w:id="90"/>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91" w:name="_bookmark23"/>
      <w:bookmarkEnd w:id="91"/>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2" w:name="_Toc502048417"/>
      <w:bookmarkStart w:id="93" w:name="_Toc503230336"/>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2"/>
      <w:bookmarkEnd w:id="93"/>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4" w:name="_Toc491876303"/>
      <w:bookmarkStart w:id="95" w:name="_Toc502048418"/>
      <w:bookmarkStart w:id="96" w:name="_Toc503230337"/>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4"/>
      <w:bookmarkEnd w:id="95"/>
      <w:bookmarkEnd w:id="96"/>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lastRenderedPageBreak/>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7" w:name="_bookmark16"/>
      <w:bookmarkStart w:id="98" w:name="_Toc491876301"/>
      <w:bookmarkStart w:id="99" w:name="_Toc502048419"/>
      <w:bookmarkStart w:id="100" w:name="_Toc503230338"/>
      <w:bookmarkEnd w:id="97"/>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8"/>
      <w:bookmarkEnd w:id="99"/>
      <w:bookmarkEnd w:id="100"/>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01" w:name="_Toc491876297"/>
      <w:bookmarkStart w:id="102" w:name="_Toc502048420"/>
      <w:bookmarkStart w:id="103" w:name="_Toc503230339"/>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101"/>
      <w:bookmarkEnd w:id="102"/>
      <w:bookmarkEnd w:id="103"/>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CC2F24">
        <w:rPr>
          <w:sz w:val="28"/>
          <w:szCs w:val="28"/>
        </w:rPr>
        <w:t>Глинковского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lastRenderedPageBreak/>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4" w:name="_Toc491876298"/>
      <w:bookmarkStart w:id="105" w:name="_Toc502048421"/>
      <w:bookmarkStart w:id="106" w:name="_Toc503230340"/>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4"/>
      <w:bookmarkEnd w:id="105"/>
      <w:bookmarkEnd w:id="106"/>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7" w:name="_bookmark14"/>
      <w:bookmarkStart w:id="108" w:name="_Toc491876299"/>
      <w:bookmarkStart w:id="109" w:name="_Toc502048422"/>
      <w:bookmarkStart w:id="110" w:name="_Toc503230341"/>
      <w:bookmarkEnd w:id="107"/>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8"/>
      <w:bookmarkEnd w:id="109"/>
      <w:bookmarkEnd w:id="110"/>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11" w:name="_bookmark15"/>
      <w:bookmarkStart w:id="112" w:name="_Toc491876300"/>
      <w:bookmarkStart w:id="113" w:name="_Toc502048423"/>
      <w:bookmarkStart w:id="114" w:name="_Toc503230342"/>
      <w:bookmarkEnd w:id="111"/>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2"/>
      <w:bookmarkEnd w:id="113"/>
      <w:bookmarkEnd w:id="114"/>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5" w:name="_bookmark17"/>
      <w:bookmarkStart w:id="116" w:name="_Toc491876302"/>
      <w:bookmarkStart w:id="117" w:name="_Toc502048424"/>
      <w:bookmarkStart w:id="118" w:name="_Toc503230343"/>
      <w:bookmarkEnd w:id="115"/>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6"/>
      <w:bookmarkEnd w:id="117"/>
      <w:bookmarkEnd w:id="118"/>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CC2F24">
        <w:rPr>
          <w:sz w:val="28"/>
          <w:szCs w:val="28"/>
        </w:rPr>
        <w:t>Глинковского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CC2F24">
        <w:rPr>
          <w:sz w:val="28"/>
          <w:szCs w:val="28"/>
        </w:rPr>
        <w:t>Глинковского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9" w:name="_bookmark18"/>
      <w:bookmarkEnd w:id="119"/>
    </w:p>
    <w:p w:rsidR="00C2417D" w:rsidRPr="00394F1F" w:rsidRDefault="00C2417D" w:rsidP="004D163A">
      <w:pPr>
        <w:spacing w:after="0" w:line="240" w:lineRule="auto"/>
        <w:jc w:val="both"/>
        <w:rPr>
          <w:rFonts w:ascii="Times New Roman" w:hAnsi="Times New Roman" w:cs="Times New Roman"/>
          <w:sz w:val="28"/>
          <w:szCs w:val="28"/>
        </w:rPr>
      </w:pPr>
      <w:bookmarkStart w:id="120" w:name="_bookmark19"/>
      <w:bookmarkEnd w:id="120"/>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1" w:name="_Toc491876305"/>
      <w:bookmarkStart w:id="122" w:name="_Toc502048425"/>
      <w:bookmarkStart w:id="123" w:name="_Toc503230344"/>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21"/>
      <w:bookmarkEnd w:id="122"/>
      <w:bookmarkEnd w:id="123"/>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lastRenderedPageBreak/>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4" w:name="_Toc491876306"/>
      <w:bookmarkStart w:id="125" w:name="_Toc502048426"/>
      <w:bookmarkStart w:id="126" w:name="_Toc503230345"/>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4"/>
      <w:bookmarkEnd w:id="125"/>
      <w:bookmarkEnd w:id="126"/>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CC2F24">
        <w:rPr>
          <w:sz w:val="28"/>
          <w:szCs w:val="28"/>
        </w:rPr>
        <w:t>Глинковского района</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CC2F24">
        <w:rPr>
          <w:sz w:val="28"/>
          <w:szCs w:val="28"/>
        </w:rPr>
        <w:t>Глинковского района</w:t>
      </w:r>
      <w:r w:rsidRPr="00394F1F">
        <w:rPr>
          <w:sz w:val="28"/>
          <w:szCs w:val="28"/>
        </w:rPr>
        <w:t xml:space="preserve">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lastRenderedPageBreak/>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7" w:name="_Toc491876307"/>
      <w:bookmarkStart w:id="128" w:name="_Toc502048427"/>
      <w:bookmarkStart w:id="129" w:name="_Toc503230346"/>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7"/>
      <w:bookmarkEnd w:id="128"/>
      <w:bookmarkEnd w:id="129"/>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0" w:name="_Toc491876308"/>
      <w:bookmarkStart w:id="131" w:name="_Toc502048428"/>
      <w:bookmarkStart w:id="132" w:name="_Toc503230347"/>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30"/>
      <w:bookmarkEnd w:id="131"/>
      <w:bookmarkEnd w:id="132"/>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3" w:name="_bookmark28"/>
      <w:bookmarkStart w:id="134" w:name="_Toc491876309"/>
      <w:bookmarkStart w:id="135" w:name="_Toc502048429"/>
      <w:bookmarkStart w:id="136" w:name="_Toc503230348"/>
      <w:bookmarkEnd w:id="133"/>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4"/>
      <w:bookmarkEnd w:id="135"/>
      <w:bookmarkEnd w:id="136"/>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7" w:name="_Toc491876310"/>
      <w:bookmarkStart w:id="138" w:name="_Toc502048430"/>
      <w:bookmarkStart w:id="139" w:name="_Toc503230349"/>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7"/>
      <w:bookmarkEnd w:id="138"/>
      <w:bookmarkEnd w:id="139"/>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40" w:name="_Toc491876311"/>
      <w:bookmarkStart w:id="141" w:name="_Toc502048431"/>
      <w:bookmarkStart w:id="142" w:name="_Toc503230350"/>
      <w:r w:rsidRPr="00394F1F">
        <w:rPr>
          <w:rFonts w:ascii="Times New Roman" w:hAnsi="Times New Roman" w:cs="Times New Roman"/>
          <w:color w:val="auto"/>
          <w:sz w:val="28"/>
          <w:szCs w:val="28"/>
        </w:rPr>
        <w:t>Объекты, относящиеся к области жилищного строительства</w:t>
      </w:r>
      <w:bookmarkEnd w:id="140"/>
      <w:bookmarkEnd w:id="141"/>
      <w:bookmarkEnd w:id="142"/>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CC2F24">
        <w:rPr>
          <w:sz w:val="28"/>
          <w:szCs w:val="28"/>
        </w:rPr>
        <w:t>Глинковского района</w:t>
      </w:r>
      <w:r w:rsidRPr="00394F1F">
        <w:rPr>
          <w:sz w:val="28"/>
          <w:szCs w:val="28"/>
        </w:rPr>
        <w:t xml:space="preserve"> </w:t>
      </w:r>
      <w:r w:rsidRPr="00394F1F">
        <w:rPr>
          <w:sz w:val="28"/>
          <w:szCs w:val="28"/>
        </w:rPr>
        <w:lastRenderedPageBreak/>
        <w:t>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lastRenderedPageBreak/>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8"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3" w:name="_Toc491876312"/>
      <w:bookmarkStart w:id="144" w:name="_Toc502048432"/>
      <w:bookmarkStart w:id="145" w:name="_Toc503230351"/>
      <w:r w:rsidRPr="00394F1F">
        <w:rPr>
          <w:rFonts w:ascii="Times New Roman" w:hAnsi="Times New Roman" w:cs="Times New Roman"/>
          <w:color w:val="auto"/>
          <w:sz w:val="28"/>
          <w:szCs w:val="28"/>
        </w:rPr>
        <w:t>Объекты, относящиеся к области фармацевтики</w:t>
      </w:r>
      <w:bookmarkEnd w:id="143"/>
      <w:bookmarkEnd w:id="144"/>
      <w:bookmarkEnd w:id="14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6" w:name="_bookmark33"/>
      <w:bookmarkStart w:id="147" w:name="_Toc491876313"/>
      <w:bookmarkStart w:id="148" w:name="_Toc502048433"/>
      <w:bookmarkStart w:id="149" w:name="_Toc503230352"/>
      <w:bookmarkEnd w:id="146"/>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7"/>
      <w:bookmarkEnd w:id="148"/>
      <w:bookmarkEnd w:id="149"/>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50" w:name="_bookmark34"/>
      <w:bookmarkStart w:id="151" w:name="_Toc491876314"/>
      <w:bookmarkStart w:id="152" w:name="_Toc502048434"/>
      <w:bookmarkStart w:id="153" w:name="_Toc503230353"/>
      <w:bookmarkEnd w:id="150"/>
      <w:r w:rsidRPr="00394F1F">
        <w:rPr>
          <w:rFonts w:ascii="Times New Roman" w:hAnsi="Times New Roman" w:cs="Times New Roman"/>
          <w:color w:val="auto"/>
          <w:sz w:val="28"/>
          <w:szCs w:val="28"/>
        </w:rPr>
        <w:lastRenderedPageBreak/>
        <w:t>Объекты, относящиеся к области культуры</w:t>
      </w:r>
      <w:bookmarkEnd w:id="151"/>
      <w:bookmarkEnd w:id="152"/>
      <w:bookmarkEnd w:id="153"/>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4" w:name="_bookmark35"/>
      <w:bookmarkStart w:id="155" w:name="_Toc491876315"/>
      <w:bookmarkStart w:id="156" w:name="_Toc502048435"/>
      <w:bookmarkStart w:id="157" w:name="_Toc503230354"/>
      <w:bookmarkEnd w:id="154"/>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5"/>
      <w:bookmarkEnd w:id="156"/>
      <w:bookmarkEnd w:id="157"/>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8" w:name="_bookmark36"/>
      <w:bookmarkStart w:id="159" w:name="_Toc491876316"/>
      <w:bookmarkStart w:id="160" w:name="_Toc502048436"/>
      <w:bookmarkStart w:id="161" w:name="_Toc503230355"/>
      <w:bookmarkEnd w:id="158"/>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9"/>
      <w:bookmarkEnd w:id="160"/>
      <w:bookmarkEnd w:id="161"/>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2" w:name="_bookmark37"/>
      <w:bookmarkStart w:id="163" w:name="_Toc491876317"/>
      <w:bookmarkStart w:id="164" w:name="_Toc502048437"/>
      <w:bookmarkStart w:id="165" w:name="_Toc503230356"/>
      <w:bookmarkEnd w:id="162"/>
      <w:r w:rsidRPr="00394F1F">
        <w:rPr>
          <w:rFonts w:ascii="Times New Roman" w:hAnsi="Times New Roman" w:cs="Times New Roman"/>
          <w:color w:val="auto"/>
          <w:sz w:val="28"/>
          <w:szCs w:val="28"/>
        </w:rPr>
        <w:lastRenderedPageBreak/>
        <w:t>Объекты, относящиеся к области почтовой связи</w:t>
      </w:r>
      <w:bookmarkEnd w:id="163"/>
      <w:bookmarkEnd w:id="164"/>
      <w:bookmarkEnd w:id="165"/>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6" w:name="_bookmark38"/>
      <w:bookmarkStart w:id="167" w:name="_Toc491876318"/>
      <w:bookmarkStart w:id="168" w:name="_Toc502048438"/>
      <w:bookmarkStart w:id="169" w:name="_Toc503230357"/>
      <w:bookmarkEnd w:id="166"/>
      <w:r w:rsidRPr="00394F1F">
        <w:rPr>
          <w:rFonts w:ascii="Times New Roman" w:hAnsi="Times New Roman" w:cs="Times New Roman"/>
          <w:color w:val="auto"/>
          <w:sz w:val="28"/>
          <w:szCs w:val="28"/>
        </w:rPr>
        <w:t>Объекты в области туризма и рекреации</w:t>
      </w:r>
      <w:bookmarkEnd w:id="167"/>
      <w:bookmarkEnd w:id="168"/>
      <w:bookmarkEnd w:id="169"/>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CC2F24">
        <w:rPr>
          <w:sz w:val="28"/>
          <w:szCs w:val="28"/>
        </w:rPr>
        <w:t>Глинковского района</w:t>
      </w:r>
      <w:r w:rsidRPr="00394F1F">
        <w:rPr>
          <w:sz w:val="28"/>
          <w:szCs w:val="28"/>
        </w:rPr>
        <w:t xml:space="preserve">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70" w:name="_bookmark39"/>
      <w:bookmarkStart w:id="171" w:name="_Toc491876319"/>
      <w:bookmarkStart w:id="172" w:name="_Toc502048439"/>
      <w:bookmarkStart w:id="173" w:name="_Toc503230358"/>
      <w:bookmarkEnd w:id="170"/>
      <w:r w:rsidRPr="00394F1F">
        <w:rPr>
          <w:rFonts w:ascii="Times New Roman" w:hAnsi="Times New Roman" w:cs="Times New Roman"/>
          <w:color w:val="auto"/>
          <w:sz w:val="28"/>
          <w:szCs w:val="28"/>
        </w:rPr>
        <w:t>Объекты, относящиеся к области транспортного обслуживания</w:t>
      </w:r>
      <w:bookmarkEnd w:id="171"/>
      <w:bookmarkEnd w:id="172"/>
      <w:bookmarkEnd w:id="173"/>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w:t>
      </w:r>
      <w:r w:rsidRPr="00394F1F">
        <w:rPr>
          <w:sz w:val="28"/>
          <w:szCs w:val="28"/>
        </w:rPr>
        <w:lastRenderedPageBreak/>
        <w:t>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4" w:name="_bookmark40"/>
      <w:bookmarkStart w:id="175" w:name="_Toc491876320"/>
      <w:bookmarkStart w:id="176" w:name="_Toc502048440"/>
      <w:bookmarkStart w:id="177" w:name="_Toc503230359"/>
      <w:bookmarkEnd w:id="174"/>
      <w:r w:rsidRPr="00394F1F">
        <w:rPr>
          <w:rFonts w:ascii="Times New Roman" w:hAnsi="Times New Roman" w:cs="Times New Roman"/>
          <w:color w:val="auto"/>
          <w:sz w:val="28"/>
          <w:szCs w:val="28"/>
        </w:rPr>
        <w:t>Объекты в области промышленности и сельского хозяйства</w:t>
      </w:r>
      <w:bookmarkEnd w:id="175"/>
      <w:bookmarkEnd w:id="176"/>
      <w:bookmarkEnd w:id="177"/>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сельским поселениям Глинковского района</w:t>
      </w:r>
      <w:r w:rsidRPr="00394F1F">
        <w:rPr>
          <w:sz w:val="28"/>
          <w:szCs w:val="28"/>
        </w:rPr>
        <w:t>):</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w:t>
      </w:r>
      <w:r w:rsidRPr="00394F1F">
        <w:rPr>
          <w:rFonts w:ascii="Times New Roman" w:hAnsi="Times New Roman" w:cs="Times New Roman"/>
          <w:sz w:val="28"/>
          <w:szCs w:val="28"/>
        </w:rPr>
        <w:lastRenderedPageBreak/>
        <w:t>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lastRenderedPageBreak/>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w:t>
      </w:r>
      <w:r w:rsidRPr="00394F1F">
        <w:rPr>
          <w:sz w:val="28"/>
          <w:szCs w:val="28"/>
        </w:rPr>
        <w:lastRenderedPageBreak/>
        <w:t>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r w:rsidR="009E0A09">
        <w:rPr>
          <w:sz w:val="28"/>
          <w:szCs w:val="28"/>
        </w:rPr>
        <w:t>Глинковско</w:t>
      </w:r>
      <w:r w:rsidR="004B4B12">
        <w:rPr>
          <w:sz w:val="28"/>
          <w:szCs w:val="28"/>
        </w:rPr>
        <w:t>го</w:t>
      </w:r>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8" w:name="_Toc491876321"/>
      <w:bookmarkStart w:id="179" w:name="_Toc502048441"/>
      <w:bookmarkStart w:id="180" w:name="_Toc503230360"/>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8"/>
      <w:bookmarkEnd w:id="179"/>
      <w:bookmarkEnd w:id="180"/>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1" w:name="_bookmark42"/>
      <w:bookmarkStart w:id="182" w:name="_Toc491876322"/>
      <w:bookmarkStart w:id="183" w:name="_Toc502048442"/>
      <w:bookmarkStart w:id="184" w:name="_Toc503230361"/>
      <w:bookmarkEnd w:id="181"/>
      <w:r w:rsidRPr="00394F1F">
        <w:rPr>
          <w:rFonts w:ascii="Times New Roman" w:hAnsi="Times New Roman" w:cs="Times New Roman"/>
          <w:color w:val="auto"/>
          <w:sz w:val="28"/>
          <w:szCs w:val="28"/>
        </w:rPr>
        <w:t>Требования по обеспечению охраны окружающей среды</w:t>
      </w:r>
      <w:bookmarkEnd w:id="182"/>
      <w:bookmarkEnd w:id="183"/>
      <w:bookmarkEnd w:id="184"/>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9">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30">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CC2F24">
        <w:rPr>
          <w:sz w:val="28"/>
          <w:szCs w:val="28"/>
        </w:rPr>
        <w:t>Глинковского района</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5" w:name="_bookmark43"/>
      <w:bookmarkStart w:id="186" w:name="_Toc491876323"/>
      <w:bookmarkStart w:id="187" w:name="_Toc502048443"/>
      <w:bookmarkStart w:id="188" w:name="_Toc503230362"/>
      <w:bookmarkEnd w:id="185"/>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6"/>
      <w:bookmarkEnd w:id="187"/>
      <w:bookmarkEnd w:id="188"/>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CC2F24">
        <w:rPr>
          <w:sz w:val="28"/>
          <w:szCs w:val="28"/>
        </w:rPr>
        <w:t>Глинковского района</w:t>
      </w:r>
      <w:r w:rsidRPr="00394F1F">
        <w:rPr>
          <w:sz w:val="28"/>
          <w:szCs w:val="28"/>
        </w:rPr>
        <w:t xml:space="preserve"> необходимо учитывать требования проектирования в соответствии с </w:t>
      </w:r>
      <w:hyperlink r:id="rId32">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9" w:name="_Toc491876324"/>
      <w:bookmarkStart w:id="190" w:name="_Toc502048444"/>
      <w:bookmarkStart w:id="191" w:name="_Toc503230363"/>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9"/>
      <w:bookmarkEnd w:id="190"/>
      <w:bookmarkEnd w:id="191"/>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CC2F24">
        <w:rPr>
          <w:sz w:val="28"/>
          <w:szCs w:val="28"/>
        </w:rPr>
        <w:t>Глинковского района</w:t>
      </w:r>
      <w:r w:rsidRPr="00394F1F">
        <w:rPr>
          <w:sz w:val="28"/>
          <w:szCs w:val="28"/>
        </w:rPr>
        <w:t xml:space="preserve">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w:t>
      </w:r>
      <w:r w:rsidRPr="00394F1F">
        <w:rPr>
          <w:rFonts w:ascii="Times New Roman" w:hAnsi="Times New Roman" w:cs="Times New Roman"/>
          <w:sz w:val="28"/>
          <w:szCs w:val="28"/>
        </w:rPr>
        <w:lastRenderedPageBreak/>
        <w:t xml:space="preserve">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2" w:name="_bookmark45"/>
      <w:bookmarkStart w:id="193" w:name="_Toc491876325"/>
      <w:bookmarkStart w:id="194" w:name="_Toc502048445"/>
      <w:bookmarkStart w:id="195" w:name="_Toc503230364"/>
      <w:bookmarkEnd w:id="192"/>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3"/>
      <w:bookmarkEnd w:id="194"/>
      <w:bookmarkEnd w:id="195"/>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lastRenderedPageBreak/>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6" w:name="_Toc502048446"/>
      <w:bookmarkStart w:id="197" w:name="_Toc503230365"/>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6"/>
      <w:bookmarkEnd w:id="197"/>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CC2F24">
        <w:rPr>
          <w:rFonts w:ascii="Times New Roman" w:hAnsi="Times New Roman" w:cs="Times New Roman"/>
          <w:sz w:val="28"/>
          <w:szCs w:val="28"/>
        </w:rPr>
        <w:t>Глинковского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CC2F24">
        <w:rPr>
          <w:rFonts w:ascii="Times New Roman" w:hAnsi="Times New Roman" w:cs="Times New Roman"/>
          <w:sz w:val="28"/>
          <w:szCs w:val="28"/>
        </w:rPr>
        <w:t>Глинковского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CC2F24">
        <w:rPr>
          <w:rFonts w:ascii="Times New Roman" w:hAnsi="Times New Roman" w:cs="Times New Roman"/>
          <w:sz w:val="28"/>
          <w:szCs w:val="28"/>
        </w:rPr>
        <w:t>Глинковского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CC2F24">
        <w:rPr>
          <w:rFonts w:ascii="Times New Roman" w:hAnsi="Times New Roman" w:cs="Times New Roman"/>
          <w:sz w:val="28"/>
          <w:szCs w:val="28"/>
        </w:rPr>
        <w:t>Глинковского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CC2F24">
        <w:rPr>
          <w:rFonts w:ascii="Times New Roman" w:hAnsi="Times New Roman" w:cs="Times New Roman"/>
          <w:sz w:val="28"/>
          <w:szCs w:val="28"/>
        </w:rPr>
        <w:t>Глинковского района</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CC2F24">
        <w:rPr>
          <w:rFonts w:ascii="Times New Roman" w:hAnsi="Times New Roman" w:cs="Times New Roman"/>
          <w:sz w:val="28"/>
          <w:szCs w:val="28"/>
        </w:rPr>
        <w:t>Глинковского района</w:t>
      </w:r>
      <w:r w:rsidRPr="00394F1F">
        <w:rPr>
          <w:rFonts w:ascii="Times New Roman" w:hAnsi="Times New Roman" w:cs="Times New Roman"/>
          <w:sz w:val="28"/>
          <w:szCs w:val="28"/>
        </w:rPr>
        <w:t>,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8" w:name="_Toc491876326"/>
      <w:bookmarkStart w:id="199" w:name="_Toc502048447"/>
      <w:bookmarkStart w:id="200" w:name="_Toc503230366"/>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8"/>
      <w:bookmarkEnd w:id="199"/>
      <w:bookmarkEnd w:id="200"/>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CC2F24">
              <w:rPr>
                <w:sz w:val="28"/>
                <w:szCs w:val="28"/>
                <w:lang w:val="ru-RU"/>
              </w:rPr>
              <w:t>Глинковского района</w:t>
            </w:r>
            <w:r w:rsidRPr="00394F1F">
              <w:rPr>
                <w:sz w:val="28"/>
                <w:szCs w:val="28"/>
                <w:lang w:val="ru-RU"/>
              </w:rPr>
              <w:t xml:space="preserve">, МНГП </w:t>
            </w:r>
            <w:r w:rsidR="00CC2F24">
              <w:rPr>
                <w:sz w:val="28"/>
                <w:szCs w:val="28"/>
                <w:lang w:val="ru-RU"/>
              </w:rPr>
              <w:t>Глинковского района</w:t>
            </w:r>
            <w:r w:rsidRPr="00394F1F">
              <w:rPr>
                <w:sz w:val="28"/>
                <w:szCs w:val="28"/>
                <w:lang w:val="ru-RU"/>
              </w:rPr>
              <w:t>,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CC2F24">
              <w:rPr>
                <w:sz w:val="28"/>
                <w:szCs w:val="28"/>
                <w:lang w:val="ru-RU"/>
              </w:rPr>
              <w:t>Глинковского района</w:t>
            </w:r>
            <w:r w:rsidRPr="00394F1F">
              <w:rPr>
                <w:sz w:val="28"/>
                <w:szCs w:val="28"/>
                <w:lang w:val="ru-RU"/>
              </w:rPr>
              <w:t xml:space="preserve">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CC2F24">
        <w:rPr>
          <w:sz w:val="28"/>
          <w:szCs w:val="28"/>
        </w:rPr>
        <w:t>Глинковского района</w:t>
      </w:r>
      <w:r w:rsidRPr="00394F1F">
        <w:rPr>
          <w:sz w:val="28"/>
          <w:szCs w:val="28"/>
        </w:rPr>
        <w:t xml:space="preserve">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2C" w:rsidRDefault="00276B2C" w:rsidP="0027659D">
      <w:pPr>
        <w:spacing w:after="0" w:line="240" w:lineRule="auto"/>
      </w:pPr>
      <w:r>
        <w:separator/>
      </w:r>
    </w:p>
  </w:endnote>
  <w:endnote w:type="continuationSeparator" w:id="0">
    <w:p w:rsidR="00276B2C" w:rsidRDefault="00276B2C"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E01DF7" w:rsidRDefault="005D0032" w:rsidP="008259BE">
    <w:pPr>
      <w:pStyle w:val="a9"/>
      <w:pBdr>
        <w:top w:val="single" w:sz="4" w:space="1" w:color="auto"/>
      </w:pBdr>
      <w:jc w:val="center"/>
      <w:rPr>
        <w:i/>
        <w:iCs/>
        <w:sz w:val="20"/>
        <w:szCs w:val="20"/>
      </w:rPr>
    </w:pPr>
    <w:r>
      <w:rPr>
        <w:bCs/>
        <w:i/>
        <w:iCs/>
        <w:sz w:val="20"/>
      </w:rPr>
      <w:t>ООО «ГРАДОСТРОИТЕЛЬСТВО И  КАДАСТР»</w:t>
    </w:r>
  </w:p>
  <w:p w:rsidR="005D0032" w:rsidRPr="00936BEF" w:rsidRDefault="005D0032" w:rsidP="008259BE">
    <w:pPr>
      <w:pStyle w:val="a9"/>
      <w:pBdr>
        <w:top w:val="single" w:sz="4" w:space="1" w:color="auto"/>
      </w:pBdr>
      <w:jc w:val="center"/>
      <w:rPr>
        <w:i/>
        <w:sz w:val="20"/>
      </w:rPr>
    </w:pPr>
  </w:p>
  <w:p w:rsidR="005D0032" w:rsidRDefault="00276B2C">
    <w:pPr>
      <w:pStyle w:val="a9"/>
      <w:jc w:val="center"/>
    </w:pPr>
    <w:r>
      <w:fldChar w:fldCharType="begin"/>
    </w:r>
    <w:r>
      <w:instrText xml:space="preserve"> PAGE   \* MERGEFORMAT </w:instrText>
    </w:r>
    <w:r>
      <w:fldChar w:fldCharType="separate"/>
    </w:r>
    <w:r w:rsidR="005D0032">
      <w:rPr>
        <w:noProof/>
      </w:rPr>
      <w:t>2</w:t>
    </w:r>
    <w:r>
      <w:rPr>
        <w:noProof/>
      </w:rPr>
      <w:fldChar w:fldCharType="end"/>
    </w:r>
  </w:p>
  <w:p w:rsidR="005D0032" w:rsidRPr="00CA143D" w:rsidRDefault="005D0032">
    <w:pPr>
      <w:pStyle w:val="a9"/>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EE621B" w:rsidRDefault="005D0032" w:rsidP="008259BE">
    <w:pPr>
      <w:pStyle w:val="a9"/>
      <w:jc w:val="center"/>
    </w:pPr>
  </w:p>
  <w:p w:rsidR="005D0032" w:rsidRDefault="005D003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E01DF7" w:rsidRDefault="005D0032" w:rsidP="008259BE">
    <w:pPr>
      <w:pStyle w:val="a9"/>
      <w:pBdr>
        <w:top w:val="single" w:sz="4" w:space="1" w:color="auto"/>
      </w:pBdr>
      <w:jc w:val="center"/>
      <w:rPr>
        <w:i/>
        <w:iCs/>
        <w:sz w:val="20"/>
        <w:szCs w:val="20"/>
      </w:rPr>
    </w:pPr>
    <w:r>
      <w:rPr>
        <w:bCs/>
        <w:i/>
        <w:iCs/>
        <w:sz w:val="20"/>
      </w:rPr>
      <w:t>ООО «ГРАДОСТРОИТЕЛЬСТВО И  КАДАСТР»</w:t>
    </w:r>
  </w:p>
  <w:p w:rsidR="005D0032" w:rsidRPr="00936BEF" w:rsidRDefault="005D0032" w:rsidP="008259BE">
    <w:pPr>
      <w:pStyle w:val="a9"/>
      <w:pBdr>
        <w:top w:val="single" w:sz="4" w:space="1" w:color="auto"/>
      </w:pBdr>
      <w:jc w:val="center"/>
      <w:rPr>
        <w:i/>
        <w:sz w:val="20"/>
      </w:rPr>
    </w:pPr>
  </w:p>
  <w:p w:rsidR="005D0032" w:rsidRDefault="00276B2C">
    <w:pPr>
      <w:pStyle w:val="a9"/>
      <w:jc w:val="center"/>
    </w:pPr>
    <w:r>
      <w:fldChar w:fldCharType="begin"/>
    </w:r>
    <w:r>
      <w:instrText xml:space="preserve"> PAGE   \* MERGEFORMAT </w:instrText>
    </w:r>
    <w:r>
      <w:fldChar w:fldCharType="separate"/>
    </w:r>
    <w:r w:rsidR="005D0032">
      <w:rPr>
        <w:noProof/>
      </w:rPr>
      <w:t>3</w:t>
    </w:r>
    <w:r>
      <w:rPr>
        <w:noProof/>
      </w:rPr>
      <w:fldChar w:fldCharType="end"/>
    </w:r>
  </w:p>
  <w:p w:rsidR="005D0032" w:rsidRPr="00CA143D" w:rsidRDefault="005D0032">
    <w:pPr>
      <w:pStyle w:val="a9"/>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EE621B" w:rsidRDefault="005D0032" w:rsidP="008259BE">
    <w:pPr>
      <w:pStyle w:val="a9"/>
      <w:jc w:val="center"/>
    </w:pPr>
  </w:p>
  <w:p w:rsidR="005D0032" w:rsidRDefault="005D0032">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B05F91" w:rsidRDefault="005D0032"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5D0032" w:rsidRPr="00B05F91" w:rsidRDefault="005D0032" w:rsidP="00B05F91">
    <w:pPr>
      <w:pStyle w:val="a9"/>
      <w:pBdr>
        <w:top w:val="single" w:sz="4" w:space="1" w:color="auto"/>
      </w:pBdr>
      <w:jc w:val="center"/>
      <w:rPr>
        <w:rFonts w:ascii="Times New Roman" w:hAnsi="Times New Roman" w:cs="Times New Roman"/>
        <w:i/>
      </w:rPr>
    </w:pPr>
  </w:p>
  <w:p w:rsidR="005D0032" w:rsidRPr="00B05F91" w:rsidRDefault="00A6663D" w:rsidP="00B05F91">
    <w:pPr>
      <w:pStyle w:val="a9"/>
      <w:jc w:val="center"/>
      <w:rPr>
        <w:rFonts w:ascii="Times New Roman" w:hAnsi="Times New Roman" w:cs="Times New Roman"/>
      </w:rPr>
    </w:pPr>
    <w:r w:rsidRPr="00B05F91">
      <w:rPr>
        <w:rFonts w:ascii="Times New Roman" w:hAnsi="Times New Roman" w:cs="Times New Roman"/>
      </w:rPr>
      <w:fldChar w:fldCharType="begin"/>
    </w:r>
    <w:r w:rsidR="005D0032"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809FF">
      <w:rPr>
        <w:rFonts w:ascii="Times New Roman" w:hAnsi="Times New Roman" w:cs="Times New Roman"/>
        <w:noProof/>
      </w:rPr>
      <w:t>129</w:t>
    </w:r>
    <w:r w:rsidRPr="00B05F91">
      <w:rPr>
        <w:rFonts w:ascii="Times New Roman" w:hAnsi="Times New Roman" w:cs="Times New Roman"/>
      </w:rPr>
      <w:fldChar w:fldCharType="end"/>
    </w:r>
  </w:p>
  <w:p w:rsidR="005D0032" w:rsidRDefault="005D0032">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Default="005D0032">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Default="005D0032">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2C" w:rsidRDefault="00276B2C" w:rsidP="0027659D">
      <w:pPr>
        <w:spacing w:after="0" w:line="240" w:lineRule="auto"/>
      </w:pPr>
      <w:r>
        <w:separator/>
      </w:r>
    </w:p>
  </w:footnote>
  <w:footnote w:type="continuationSeparator" w:id="0">
    <w:p w:rsidR="00276B2C" w:rsidRDefault="00276B2C" w:rsidP="0027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230B1C" w:rsidRDefault="005D0032"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Глинковского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5D0032" w:rsidRDefault="005D0032" w:rsidP="008259B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230B1C" w:rsidRDefault="005D0032"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Глинковского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5D0032" w:rsidRDefault="005D0032" w:rsidP="008259B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Pr="00B05F91" w:rsidRDefault="005D0032"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«Глинковский район» Смоленской области</w:t>
    </w:r>
  </w:p>
  <w:p w:rsidR="005D0032" w:rsidRPr="00B05F91" w:rsidRDefault="005D0032" w:rsidP="00B05F91">
    <w:pPr>
      <w:pStyle w:val="af0"/>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B2C"/>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0032"/>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476"/>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57E4F"/>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24"/>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9F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consultantplus://offline/ref%3D4E7517F706E49D8F0507558A68962DF7A2EFD8C659DB1A25C4B44B99a0H9I"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34E79919C53EEA3E145CE28q0m9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3D751F3AB6719E859034A453BD22014648B3332EF26460AB6FDC6150C0g1mEH" TargetMode="External"/><Relationship Id="rId29" Type="http://schemas.openxmlformats.org/officeDocument/2006/relationships/hyperlink" Target="http://integral.ru/download/literatur/2.1.6.103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8F10C197789C5638EBA2C46468E38E41A310FAD3B3766083C2CED6FFuCX2I"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consultantplus://offline/ref=C7B3893B3C99E3A2A15EB197CFEBCD728FB0C571DB30A337E5F0161C0ACBJ" TargetMode="External"/><Relationship Id="rId31" Type="http://schemas.openxmlformats.org/officeDocument/2006/relationships/hyperlink" Target="consultantplus://offline/ref%3DABB6B23E8C7CD01E755F9B7812A2C30D77D48305A68092F91766B5889ACC050C78B22C2EJAC4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consultantplus://offline/ref=C6A4D78669D02F5015F66DE29DFF15C20F5DEFEAAC4C7C979953EEA3E145CE28q0m9I"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3D7FEDFDC0A46FA91BCF13AD6C094E0D09958C1ED19E20481A05F742426AE3Q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78DB2-0F54-413C-89AD-79C83D2A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34075</Words>
  <Characters>194229</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cp:revision>
  <cp:lastPrinted>2017-09-15T13:32:00Z</cp:lastPrinted>
  <dcterms:created xsi:type="dcterms:W3CDTF">2018-01-09T12:52:00Z</dcterms:created>
  <dcterms:modified xsi:type="dcterms:W3CDTF">2018-01-09T12:52:00Z</dcterms:modified>
</cp:coreProperties>
</file>