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66" w:rsidRDefault="00243666" w:rsidP="00243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666">
        <w:rPr>
          <w:rFonts w:ascii="Times New Roman" w:hAnsi="Times New Roman" w:cs="Times New Roman"/>
          <w:b/>
          <w:sz w:val="36"/>
          <w:szCs w:val="36"/>
        </w:rPr>
        <w:t>Требования к детским площадкам</w:t>
      </w:r>
    </w:p>
    <w:p w:rsidR="00243666" w:rsidRPr="00243666" w:rsidRDefault="00243666" w:rsidP="002436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243666" w:rsidRPr="00243666" w:rsidRDefault="00243666" w:rsidP="0024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66">
        <w:rPr>
          <w:rFonts w:ascii="Times New Roman" w:hAnsi="Times New Roman" w:cs="Times New Roman"/>
          <w:sz w:val="28"/>
          <w:szCs w:val="28"/>
        </w:rPr>
        <w:t>С 17 ноября 2018 года вступил в силу технический регламент Евразийского экономического союза «О безопасности оборудования для детских игровых площадок». Технический регламент устанавливает требования к безопасности оборудования и (или) покрытия для детских игровых площадок и связанным с ними процессам проектирования, производства, монтажа, эксплуатации, хранения, перевозки и утилизации и распространяется на оборудование и покрытие для детских игровых площадок, впервые выпускаемые в обращение и размещенные на открытых территориях или в закрытых помещениях.</w:t>
      </w:r>
    </w:p>
    <w:p w:rsidR="00243666" w:rsidRPr="00243666" w:rsidRDefault="00243666" w:rsidP="0024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66">
        <w:rPr>
          <w:rFonts w:ascii="Times New Roman" w:hAnsi="Times New Roman" w:cs="Times New Roman"/>
          <w:sz w:val="28"/>
          <w:szCs w:val="28"/>
        </w:rPr>
        <w:t>Технический регламент не распространяется на оборудование и покрытие для детских игровых площадок, произведённые и введённые в эксплуатацию до его вступления в силу, на спортивное оборудование и изделия, предназначенные для тренировок и занятий физической культурой, спортом и туризмом, а также аттракционы и игрушки.</w:t>
      </w:r>
    </w:p>
    <w:p w:rsidR="00243666" w:rsidRPr="00243666" w:rsidRDefault="00243666" w:rsidP="0024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66">
        <w:rPr>
          <w:rFonts w:ascii="Times New Roman" w:hAnsi="Times New Roman" w:cs="Times New Roman"/>
          <w:sz w:val="28"/>
          <w:szCs w:val="28"/>
        </w:rPr>
        <w:t>Для идентификации оборудования в целях применения технического регламента используются товаросопроводительная документация, техническая документация (конструкторская документация, паспорт) и маркировка. В качестве товаросопроводительной документации могут быть использованы договоры поставки, спецификации, этикетки, аннотации, а также другие документы, характеризующие оборудование и покрытие.</w:t>
      </w:r>
    </w:p>
    <w:p w:rsidR="00243666" w:rsidRPr="00243666" w:rsidRDefault="00243666" w:rsidP="0024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66">
        <w:rPr>
          <w:rFonts w:ascii="Times New Roman" w:hAnsi="Times New Roman" w:cs="Times New Roman"/>
          <w:sz w:val="28"/>
          <w:szCs w:val="28"/>
        </w:rPr>
        <w:t xml:space="preserve">Техническим регламентом определены требования безопасности (гигиенические, конструктивные и иные) к оборудованию и покрытию. К примеру, конструкция оборудования должна обеспечивать прочность, устойчивость, жёсткость и неизменяемость, иметь закругленные углы и края, защиту выступающих концов болтовых соединений и гладкие сварные швы; не должна иметь выступающих элементов с острыми концами или кромками, а также шероховатых поверхностей, способных нанести травму. По всей зоне приземления с оборудования должны быть установлены </w:t>
      </w:r>
      <w:proofErr w:type="spellStart"/>
      <w:r w:rsidRPr="00243666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243666">
        <w:rPr>
          <w:rFonts w:ascii="Times New Roman" w:hAnsi="Times New Roman" w:cs="Times New Roman"/>
          <w:sz w:val="28"/>
          <w:szCs w:val="28"/>
        </w:rPr>
        <w:t xml:space="preserve"> покрытия.</w:t>
      </w:r>
    </w:p>
    <w:p w:rsidR="00243666" w:rsidRPr="00243666" w:rsidRDefault="00243666" w:rsidP="0024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66">
        <w:rPr>
          <w:rFonts w:ascii="Times New Roman" w:hAnsi="Times New Roman" w:cs="Times New Roman"/>
          <w:sz w:val="28"/>
          <w:szCs w:val="28"/>
        </w:rPr>
        <w:t>Информация о характеристиках и безопасной эксплуатации оборудования указывается в паспорте, который должен содержать основные сведения об оборудовании (наименование и место нахождения (адрес) изготовителя (уполномоченного изготовителем лица), основных технических данных и комплектности оборудования, гарантийных обязательствах изготовителя, рекомендуемых типах покрытия, правилах безопасной эксплуатации, дате производства, возрастных группах (включая ограничения по весу и росту), назначенном сроке службы, схемы (планы) зоны падения.</w:t>
      </w:r>
    </w:p>
    <w:p w:rsidR="00243666" w:rsidRPr="00243666" w:rsidRDefault="00243666" w:rsidP="0024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66">
        <w:rPr>
          <w:rFonts w:ascii="Times New Roman" w:hAnsi="Times New Roman" w:cs="Times New Roman"/>
          <w:sz w:val="28"/>
          <w:szCs w:val="28"/>
        </w:rPr>
        <w:t>Техническим регламентом предусмотрено, что по истечении назначенного срока службы эксплуатация оборудования должна быть прекращена независимо от его технического состояния.</w:t>
      </w:r>
    </w:p>
    <w:p w:rsidR="00243666" w:rsidRPr="00243666" w:rsidRDefault="00243666" w:rsidP="0024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66">
        <w:rPr>
          <w:rFonts w:ascii="Times New Roman" w:hAnsi="Times New Roman" w:cs="Times New Roman"/>
          <w:sz w:val="28"/>
          <w:szCs w:val="28"/>
        </w:rPr>
        <w:t xml:space="preserve">На детской игровой площадке должна быть размещена информация в виде таблички (пиктограммы), содержащая: правила пользования </w:t>
      </w:r>
      <w:r w:rsidRPr="00243666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оборудованием и сведения о возрастных группах (включая ограничения по росту и весу), номера телефонов службы спасения, скорой помощи, номера телефонов </w:t>
      </w:r>
      <w:proofErr w:type="spellStart"/>
      <w:r w:rsidRPr="00243666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243666">
        <w:rPr>
          <w:rFonts w:ascii="Times New Roman" w:hAnsi="Times New Roman" w:cs="Times New Roman"/>
          <w:sz w:val="28"/>
          <w:szCs w:val="28"/>
        </w:rPr>
        <w:t>, по которым следует обращаться в случае неисправности или поломки оборудования.</w:t>
      </w:r>
    </w:p>
    <w:p w:rsidR="00243666" w:rsidRPr="00243666" w:rsidRDefault="00243666" w:rsidP="0024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66">
        <w:rPr>
          <w:rFonts w:ascii="Times New Roman" w:hAnsi="Times New Roman" w:cs="Times New Roman"/>
          <w:sz w:val="28"/>
          <w:szCs w:val="28"/>
        </w:rPr>
        <w:t xml:space="preserve">Новое оборудование для детских площадок подлежит обязательному подтверждению соответствия требованиям технического регламента в форме сертификации (горка, качели, качалка, канатная дорога и др.) или декларирования соответствия (песочница, игровой домик, лабиринт). Нарушение требований технических регламентов, недостоверное декларирование соответствия продукции влечёт административную ответственность по </w:t>
      </w:r>
      <w:proofErr w:type="spellStart"/>
      <w:r w:rsidRPr="0024366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2436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3666">
        <w:rPr>
          <w:rFonts w:ascii="Times New Roman" w:hAnsi="Times New Roman" w:cs="Times New Roman"/>
          <w:sz w:val="28"/>
          <w:szCs w:val="28"/>
        </w:rPr>
        <w:t>14.43.,</w:t>
      </w:r>
      <w:proofErr w:type="gramEnd"/>
      <w:r w:rsidRPr="00243666">
        <w:rPr>
          <w:rFonts w:ascii="Times New Roman" w:hAnsi="Times New Roman" w:cs="Times New Roman"/>
          <w:sz w:val="28"/>
          <w:szCs w:val="28"/>
        </w:rPr>
        <w:t xml:space="preserve"> 14.44. КоАП РФ.</w:t>
      </w:r>
    </w:p>
    <w:p w:rsidR="002B65B0" w:rsidRDefault="002B65B0"/>
    <w:sectPr w:rsidR="002B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D7"/>
    <w:rsid w:val="00243666"/>
    <w:rsid w:val="002B65B0"/>
    <w:rsid w:val="00BA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D0CE8-0A67-4441-AC1E-C8DC90AE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2018-12-27T20:18:00Z</dcterms:created>
  <dcterms:modified xsi:type="dcterms:W3CDTF">2018-12-27T20:20:00Z</dcterms:modified>
</cp:coreProperties>
</file>