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D5" w:rsidRDefault="00130AD5" w:rsidP="00130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Постановлением Правительства Российской Федерации от 19.07.2022</w:t>
      </w:r>
      <w:r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br/>
        <w:t>№ 1301 внесены изменения в акты Правительства Российской Федерации по вопросам противодействия коррупции.</w:t>
      </w:r>
    </w:p>
    <w:p w:rsidR="00130AD5" w:rsidRDefault="00130AD5" w:rsidP="00130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Согласно внесенным изменениям проверка полноты и достоверности сведений о доходах, расходах, об имуществе и обязательствах имущественного характера лиц, замещающих должности, которые обязаны предоставлять такие сведения, а также членов их семьи, соблюдения запретов и ограничений, требований о предотвращении конфликта интересов, будет осуществляться в том числе с использованием государственной информационной системы в области противодействия коррупции «Посейдон».</w:t>
      </w:r>
    </w:p>
    <w:p w:rsidR="00130AD5" w:rsidRDefault="00130AD5" w:rsidP="00130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Изменения предусматривают предварительное рассмотрение обращения гражданина, который замещал соответствующие должности в государственном органе, о даче ему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в его должностные обязанности входило управление вышеуказанными организациями, в течение 2 лет со дня увольнения с государственной службы. В ходе рассмотрения обращений могут быть запрошены необходимые документы, объяснения, по результатам - составляется мотивированное заключение.</w:t>
      </w:r>
    </w:p>
    <w:p w:rsidR="00130AD5" w:rsidRDefault="00130AD5" w:rsidP="00130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Кроме того, уточнен порядок определения стоимости подарка, полученного отдельными категориями госслужащих при исполнении своих служебных (должностных) обязанностей. В случае, если получен подарок, изготовленный из драгоценных металлов и (или) других драгоценных камней, и в отношении него не поступало заявление о выкупе, то данный подарок подлежит передаче в Государственный фонд драгоценных металлов и драгоценных камней Российской Федерации.</w:t>
      </w:r>
    </w:p>
    <w:p w:rsidR="00F90D9D" w:rsidRDefault="00F90D9D">
      <w:bookmarkStart w:id="0" w:name="_GoBack"/>
      <w:bookmarkEnd w:id="0"/>
    </w:p>
    <w:sectPr w:rsidR="00F9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A6"/>
    <w:rsid w:val="00130AD5"/>
    <w:rsid w:val="006E00A6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2437-8733-4ECD-B5EF-A81CF8F8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A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2023-12-18T08:38:00Z</dcterms:created>
  <dcterms:modified xsi:type="dcterms:W3CDTF">2023-12-18T08:38:00Z</dcterms:modified>
</cp:coreProperties>
</file>