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1040" w14:textId="11B58BE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«Глинковский район» Смоленской области </w:t>
      </w:r>
    </w:p>
    <w:p w14:paraId="0C01146F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января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января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079AE1C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1C18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7C034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10.01.2023 по 10.01.2024</w:t>
      </w:r>
    </w:p>
    <w:p w14:paraId="56754B8D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72"/>
        <w:gridCol w:w="1116"/>
        <w:gridCol w:w="1170"/>
        <w:gridCol w:w="2155"/>
        <w:gridCol w:w="2126"/>
      </w:tblGrid>
      <w:tr w:rsidR="001A3F9D" w:rsidRPr="00B03B49" w14:paraId="0181573C" w14:textId="77777777" w:rsidTr="001A3F9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CE0570E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578B76F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322073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7AFC5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2155" w:type="dxa"/>
            <w:shd w:val="clear" w:color="000000" w:fill="FFF2CC"/>
            <w:vAlign w:val="center"/>
            <w:hideMark/>
          </w:tcPr>
          <w:p w14:paraId="782F0352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2126" w:type="dxa"/>
            <w:shd w:val="clear" w:color="000000" w:fill="FFF2CC"/>
            <w:vAlign w:val="center"/>
            <w:hideMark/>
          </w:tcPr>
          <w:p w14:paraId="3E9F54B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A3F9D" w:rsidRPr="00B03B49" w14:paraId="6A1B21A5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9FC441B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9933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37B133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9D0F1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B5853E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976C1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1A3F9D" w:rsidRPr="00B03B49" w14:paraId="568C2A06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DE6AEFA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8637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D093D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C4913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A0403B0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0E317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1A3F9D" w:rsidRPr="00B03B49" w14:paraId="28B34216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A34FDD2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52BB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744A9EC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037A25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15BDB1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F1DCE0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1A3F9D" w:rsidRPr="00B03B49" w14:paraId="4A6CA8F9" w14:textId="77777777" w:rsidTr="00BF7297">
        <w:trPr>
          <w:trHeight w:val="64"/>
        </w:trPr>
        <w:tc>
          <w:tcPr>
            <w:tcW w:w="417" w:type="dxa"/>
            <w:shd w:val="clear" w:color="auto" w:fill="FFFF00"/>
            <w:noWrap/>
            <w:vAlign w:val="center"/>
          </w:tcPr>
          <w:p w14:paraId="7FFB0F1E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7FFCE4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14:paraId="12158E9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14:paraId="600B456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55" w:type="dxa"/>
            <w:shd w:val="clear" w:color="auto" w:fill="FFFF00"/>
            <w:noWrap/>
            <w:vAlign w:val="center"/>
          </w:tcPr>
          <w:p w14:paraId="2B72CD3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126" w:type="dxa"/>
            <w:shd w:val="clear" w:color="auto" w:fill="FFFF00"/>
            <w:noWrap/>
            <w:vAlign w:val="center"/>
          </w:tcPr>
          <w:p w14:paraId="6E36E14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-5,26</w:t>
            </w:r>
          </w:p>
        </w:tc>
      </w:tr>
      <w:tr w:rsidR="001A3F9D" w:rsidRPr="00B03B49" w14:paraId="5A9C526E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59B2602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F47D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E69507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94135E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5BDDA2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67C27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A3F9D" w:rsidRPr="00B03B49" w14:paraId="3E38F770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A1321D3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69A8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9B308E0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468781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6D37707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8A004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</w:tr>
      <w:tr w:rsidR="001A3F9D" w:rsidRPr="00B03B49" w14:paraId="52C1B06A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A794926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F8E5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914249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CD501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386268C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81986F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1A3F9D" w:rsidRPr="00B03B49" w14:paraId="16FDFC11" w14:textId="77777777" w:rsidTr="00BF7297">
        <w:trPr>
          <w:trHeight w:val="64"/>
        </w:trPr>
        <w:tc>
          <w:tcPr>
            <w:tcW w:w="417" w:type="dxa"/>
            <w:shd w:val="clear" w:color="auto" w:fill="FFFFFF" w:themeFill="background1"/>
            <w:noWrap/>
            <w:vAlign w:val="center"/>
          </w:tcPr>
          <w:p w14:paraId="6B99C765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35552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14:paraId="1A6CE65C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14:paraId="5ECE1A6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155" w:type="dxa"/>
            <w:shd w:val="clear" w:color="auto" w:fill="FFFFFF" w:themeFill="background1"/>
            <w:noWrap/>
            <w:vAlign w:val="center"/>
          </w:tcPr>
          <w:p w14:paraId="23D7F075" w14:textId="77777777" w:rsidR="001A3F9D" w:rsidRPr="00BF7297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3088D4" w14:textId="77777777" w:rsidR="001A3F9D" w:rsidRPr="00BF7297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7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-1,65</w:t>
            </w:r>
          </w:p>
        </w:tc>
      </w:tr>
      <w:tr w:rsidR="001A3F9D" w:rsidRPr="00B03B49" w14:paraId="68930D71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8BBE3DB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0D91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E1258AE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0E0DF5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DE57F3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4E8D6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</w:tr>
      <w:tr w:rsidR="001A3F9D" w:rsidRPr="00B03B49" w14:paraId="09C627B5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C779944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B127" w14:textId="77777777" w:rsidR="001A3F9D" w:rsidRPr="00B03B49" w:rsidRDefault="001A3F9D" w:rsidP="00A02654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7BEAC6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5EAA452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5AE90F7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FC2FE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1A3F9D" w:rsidRPr="00B03B49" w14:paraId="2CBFEB3A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1EDF132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C59B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F8BBF3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33C78C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07B179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4575A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1A3F9D" w:rsidRPr="00B03B49" w14:paraId="1245D3D0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9AFDC32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58FC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E2587D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D8800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CB5106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42C9D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1A3F9D" w:rsidRPr="00B03B49" w14:paraId="79FC424F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BDB878A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7CB8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81C728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662EDD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C4B963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CF9E6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</w:tr>
      <w:tr w:rsidR="001A3F9D" w:rsidRPr="00B03B49" w14:paraId="24010F64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D88C4B0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74AB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FEB110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DBB70F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90AAB3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57450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</w:t>
            </w:r>
          </w:p>
        </w:tc>
      </w:tr>
      <w:tr w:rsidR="001A3F9D" w:rsidRPr="00B03B49" w14:paraId="6619FC14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7B838FB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E43A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366641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FFD95A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E62A01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A4D20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3F9D" w:rsidRPr="00B03B49" w14:paraId="045BA747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DE88B9F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C02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7679E0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2E555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38D226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6DB8E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</w:tr>
      <w:tr w:rsidR="001A3F9D" w:rsidRPr="00B03B49" w14:paraId="4D8F8C81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B2D0018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67E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59473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0E1912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EE4865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02269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</w:tr>
      <w:tr w:rsidR="001A3F9D" w:rsidRPr="00B03B49" w14:paraId="238A616B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70E114C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1AF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6423E9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67A2F6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0E3801F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B70D6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</w:tr>
      <w:tr w:rsidR="001A3F9D" w:rsidRPr="00B03B49" w14:paraId="6DB89729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EC80B68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DD7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A9EB867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15233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3F46F4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5E24D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  <w:tr w:rsidR="001A3F9D" w:rsidRPr="00B03B49" w14:paraId="28F34BDE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D8BE32C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2BF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E514B9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CD3FB6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401205F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7B3D82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1A3F9D" w:rsidRPr="00B03B49" w14:paraId="16909B37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8B23A80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27B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FB5121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83685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C470B81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91204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</w:tr>
      <w:tr w:rsidR="001A3F9D" w:rsidRPr="00B03B49" w14:paraId="559C74F8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49F48D9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8BB1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88DDD7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76FC9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0C53A8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63D2D9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</w:tr>
      <w:tr w:rsidR="001A3F9D" w:rsidRPr="00B03B49" w14:paraId="5037D9F1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E403963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8F5D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816BB21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B159A62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46D080AF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7E5A6A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1A3F9D" w:rsidRPr="00B03B49" w14:paraId="53310605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9B0DB01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70C8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AC98411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FDC7118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56EB755E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027436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1A3F9D" w:rsidRPr="00B03B49" w14:paraId="6378E4EB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AC0D5D2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9142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2EC851D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BB983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5CAE797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2390DB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</w:tr>
      <w:tr w:rsidR="001A3F9D" w:rsidRPr="00B03B49" w14:paraId="595BEB9A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FF2F087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26C4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B95D7C3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E833445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A79329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9626D0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1A3F9D" w:rsidRPr="00B03B49" w14:paraId="6BFC7C04" w14:textId="77777777" w:rsidTr="001A3F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66A5E52" w14:textId="77777777" w:rsidR="001A3F9D" w:rsidRPr="00B03B49" w:rsidRDefault="001A3F9D" w:rsidP="00A0265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2E6E" w14:textId="77777777" w:rsidR="001A3F9D" w:rsidRPr="00B03B49" w:rsidRDefault="001A3F9D" w:rsidP="00A02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D4F061C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BAA12FA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6A6BA2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3FCF32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1A3F9D" w:rsidRPr="00B03B49" w14:paraId="43BC4C74" w14:textId="77777777" w:rsidTr="001A3F9D">
        <w:trPr>
          <w:trHeight w:val="64"/>
        </w:trPr>
        <w:tc>
          <w:tcPr>
            <w:tcW w:w="2789" w:type="dxa"/>
            <w:gridSpan w:val="2"/>
            <w:shd w:val="clear" w:color="auto" w:fill="auto"/>
            <w:noWrap/>
            <w:vAlign w:val="bottom"/>
            <w:hideMark/>
          </w:tcPr>
          <w:p w14:paraId="502E90E6" w14:textId="77777777" w:rsidR="001A3F9D" w:rsidRPr="00B03B49" w:rsidRDefault="001A3F9D" w:rsidP="00A02654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79B387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E91211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066EFB7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071BA4" w14:textId="77777777" w:rsidR="001A3F9D" w:rsidRPr="00B03B49" w:rsidRDefault="001A3F9D" w:rsidP="00A02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</w:tbl>
    <w:p w14:paraId="29CDCAF2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br w:type="textWrapping" w:clear="all"/>
      </w:r>
    </w:p>
    <w:p w14:paraId="56EF605B" w14:textId="2A6C0C94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Глинковский</w:t>
      </w:r>
      <w:r w:rsidRPr="004A470C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color w:val="FF0000"/>
          <w:sz w:val="28"/>
          <w:szCs w:val="28"/>
        </w:rPr>
        <w:t>с января 2023 г. по январь 2024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уменьшилось на 5 единиц или  (5,26%) </w:t>
      </w:r>
      <w:r>
        <w:rPr>
          <w:rFonts w:ascii="Times New Roman" w:hAnsi="Times New Roman" w:cs="Times New Roman"/>
          <w:sz w:val="28"/>
          <w:szCs w:val="28"/>
        </w:rPr>
        <w:t>(всего 90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47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076F9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Смоленской области </w:t>
      </w:r>
      <w:r>
        <w:rPr>
          <w:rFonts w:ascii="Times New Roman" w:hAnsi="Times New Roman" w:cs="Times New Roman"/>
          <w:sz w:val="28"/>
          <w:szCs w:val="28"/>
        </w:rPr>
        <w:t>за 2023 год</w:t>
      </w:r>
      <w:r w:rsidRPr="00746CCE">
        <w:rPr>
          <w:rFonts w:ascii="Times New Roman" w:hAnsi="Times New Roman" w:cs="Times New Roman"/>
          <w:sz w:val="28"/>
          <w:szCs w:val="28"/>
        </w:rPr>
        <w:t xml:space="preserve"> количе</w:t>
      </w:r>
      <w:r>
        <w:rPr>
          <w:rFonts w:ascii="Times New Roman" w:hAnsi="Times New Roman" w:cs="Times New Roman"/>
          <w:sz w:val="28"/>
          <w:szCs w:val="28"/>
        </w:rPr>
        <w:t>ство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Вяземский (+33 ед. или 1,39%; Гагаринский +71 ед. или 5,04</w:t>
      </w:r>
      <w:r w:rsidRPr="00746CCE">
        <w:rPr>
          <w:rFonts w:ascii="Times New Roman" w:hAnsi="Times New Roman" w:cs="Times New Roman"/>
          <w:sz w:val="28"/>
          <w:szCs w:val="28"/>
        </w:rPr>
        <w:t xml:space="preserve">%; </w:t>
      </w:r>
      <w:r>
        <w:rPr>
          <w:rFonts w:ascii="Times New Roman" w:hAnsi="Times New Roman" w:cs="Times New Roman"/>
          <w:sz w:val="28"/>
          <w:szCs w:val="28"/>
        </w:rPr>
        <w:t>Демидовский +1 ед. или 0,34</w:t>
      </w:r>
      <w:r w:rsidRPr="00746CC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+ 7 ед. или 1,76%;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+4 ед. или 2,14%;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+54 ед. или 3,52%;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CCE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енский +215 ед. или 8,97%;</w:t>
      </w:r>
      <w:r w:rsidRP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+3 ед. или 2,22%;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+14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 или 7,95</w:t>
      </w:r>
      <w:r w:rsidRPr="00746CC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г. Смоленск +135 ед. или 0,66%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+9 ед. или 1,67%</w:t>
      </w:r>
      <w:r w:rsidRPr="00746C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1083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746CCE">
        <w:rPr>
          <w:rFonts w:ascii="Times New Roman" w:hAnsi="Times New Roman" w:cs="Times New Roman"/>
          <w:sz w:val="28"/>
          <w:szCs w:val="28"/>
        </w:rPr>
        <w:t xml:space="preserve"> отмечено снижение числа зарегистрированных субъ</w:t>
      </w:r>
      <w:r>
        <w:rPr>
          <w:rFonts w:ascii="Times New Roman" w:hAnsi="Times New Roman" w:cs="Times New Roman"/>
          <w:sz w:val="28"/>
          <w:szCs w:val="28"/>
        </w:rPr>
        <w:t>ектов МСП. Наибольшее снижение:</w:t>
      </w:r>
      <w:r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(-28 ед. или 4,39%),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(-24 ед. или 2,84 %) районах.</w:t>
      </w:r>
    </w:p>
    <w:p w14:paraId="16D53D6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5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наблюдается отсутствие динамики).</w:t>
      </w:r>
    </w:p>
    <w:p w14:paraId="19C8526B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Прирост субъектов малого и среднего предпринимательства  - 426 ед. или 1,13%.</w:t>
      </w:r>
    </w:p>
    <w:p w14:paraId="609E6AF8" w14:textId="77777777" w:rsidR="00F75B10" w:rsidRDefault="00F75B10" w:rsidP="001A3F9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387A943F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9757" w:type="dxa"/>
        <w:tblInd w:w="-10" w:type="dxa"/>
        <w:tblLook w:val="04A0" w:firstRow="1" w:lastRow="0" w:firstColumn="1" w:lastColumn="0" w:noHBand="0" w:noVBand="1"/>
      </w:tblPr>
      <w:tblGrid>
        <w:gridCol w:w="2127"/>
        <w:gridCol w:w="1393"/>
        <w:gridCol w:w="1560"/>
        <w:gridCol w:w="2126"/>
        <w:gridCol w:w="2551"/>
      </w:tblGrid>
      <w:tr w:rsidR="001A3F9D" w:rsidRPr="0042427B" w14:paraId="19FF04DA" w14:textId="77777777" w:rsidTr="001A3F9D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1A3F9D" w:rsidRPr="00924AA3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1A3F9D" w:rsidRPr="00924AA3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0133BE1F" w:rsidR="001A3F9D" w:rsidRPr="00924AA3" w:rsidRDefault="001A3F9D" w:rsidP="001A3F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A3F9D" w:rsidRPr="0042427B" w14:paraId="57E58377" w14:textId="77777777" w:rsidTr="001A3F9D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2B3DAD0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39F7884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611FFD03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0A9002CF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-35,7%</w:t>
            </w:r>
          </w:p>
        </w:tc>
      </w:tr>
      <w:tr w:rsidR="001A3F9D" w:rsidRPr="0042427B" w14:paraId="121E7348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8DE5DE9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5A2A17F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A22BB40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E355064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-38,5%</w:t>
            </w:r>
          </w:p>
        </w:tc>
      </w:tr>
      <w:tr w:rsidR="001A3F9D" w:rsidRPr="0042427B" w14:paraId="6970ABE2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E1F2ADF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26D75686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32991CB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4D9D0BC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F9D" w:rsidRPr="0042427B" w14:paraId="4252ABF6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5C5B9B2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D03555D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A11DD0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65A98B4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F9D" w:rsidRPr="0042427B" w14:paraId="4A90FAE4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D71937F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50E7F5E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0E867D83" w:rsidR="001A3F9D" w:rsidRPr="0042427B" w:rsidRDefault="001A3F9D" w:rsidP="00143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8390521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3F9D" w:rsidRPr="0042427B" w14:paraId="02DA626B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59341A98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79CADEAF" w:rsidR="001A3F9D" w:rsidRPr="0042427B" w:rsidRDefault="00D25E7E" w:rsidP="009C2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36814D08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889B8BF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F9D" w:rsidRPr="0042427B" w14:paraId="1AECBC7B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EED208C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653C6D17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F9D" w:rsidRPr="0042427B" w14:paraId="1FE2E167" w14:textId="77777777" w:rsidTr="001A3F9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F9D" w:rsidRPr="0042427B" w14:paraId="6FCF6BCD" w14:textId="77777777" w:rsidTr="001A3F9D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1A3F9D" w:rsidRPr="003A1025" w:rsidRDefault="001A3F9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A0660D8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9027333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251131B3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974F6FD" w:rsidR="001A3F9D" w:rsidRPr="0042427B" w:rsidRDefault="001A3F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-1,1%</w:t>
            </w:r>
          </w:p>
        </w:tc>
      </w:tr>
    </w:tbl>
    <w:p w14:paraId="60459660" w14:textId="0E66B360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>
        <w:rPr>
          <w:rFonts w:ascii="Times New Roman" w:hAnsi="Times New Roman" w:cs="Times New Roman"/>
          <w:color w:val="FF0000"/>
          <w:sz w:val="28"/>
          <w:szCs w:val="28"/>
        </w:rPr>
        <w:t>за 2023 год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Глинковский</w:t>
      </w:r>
      <w:r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район» Смоленской области 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уменьшилось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4A470C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не изменилось.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59571DDE" w14:textId="4430D032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10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5F65177F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7116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ИП и ЮЛ за 2023 год незначительно изменялась то в сторону увеличения, то в сторону уменьшения на 2-5 единицы. В  силу специфики работы Единого реестра МСП в июле месяце отмечено существенное снижение числа как ИП, так и ЮЛ.</w:t>
      </w:r>
    </w:p>
    <w:p w14:paraId="13B6395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65F9C28D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214EED2B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3527">
        <w:rPr>
          <w:rFonts w:ascii="Times New Roman" w:hAnsi="Times New Roman" w:cs="Times New Roman"/>
          <w:sz w:val="24"/>
          <w:szCs w:val="24"/>
        </w:rPr>
        <w:t>период  10.01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527">
        <w:rPr>
          <w:rFonts w:ascii="Times New Roman" w:hAnsi="Times New Roman" w:cs="Times New Roman"/>
          <w:sz w:val="24"/>
          <w:szCs w:val="24"/>
        </w:rPr>
        <w:t>3г. по 10.01.2024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0A1D3EAA" w:rsidR="00306231" w:rsidRPr="00C20C35" w:rsidRDefault="00A047E1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B9B4899" w:rsidR="00306231" w:rsidRPr="00C20C35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DDB409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7BD5DAAE" w:rsidR="00686D4C" w:rsidRPr="00B51FDB" w:rsidRDefault="00EB244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6EEC9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1B1383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6C6F1A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516509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A11E722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190778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7C07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202CBC5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3772B5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A047E1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65A24A2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014ACA6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A047E1" w:rsidRPr="00B51FDB" w:rsidRDefault="00A047E1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035011C9" w:rsidR="00A047E1" w:rsidRPr="00B51FDB" w:rsidRDefault="00A047E1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3CC803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-13.8%</w:t>
            </w:r>
          </w:p>
        </w:tc>
      </w:tr>
      <w:tr w:rsidR="00A047E1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71DACC9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03488E3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CE9B7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22CAEEE" w:rsidR="00A047E1" w:rsidRPr="00B51FDB" w:rsidRDefault="00A047E1" w:rsidP="00A93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9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EFB5511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1BE5C98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  <w:r w:rsidR="00A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47E1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3C6166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E5416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7162DB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2F891B5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7E64B7A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86C355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E6FEE4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+10,5%</w:t>
            </w:r>
          </w:p>
        </w:tc>
      </w:tr>
      <w:tr w:rsidR="00A047E1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E89C9D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813C85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A1D2E2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A047E1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268380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BCC292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7A6F9D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3AF4207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103CB7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A047E1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85F291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7C00D309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330CADB4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062D8F4D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F06D6A9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</w:t>
            </w:r>
            <w:r w:rsidR="00A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A047E1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6F4E852" w:rsidR="00A047E1" w:rsidRPr="00B51FDB" w:rsidRDefault="00A047E1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08D8EDCC" w:rsidR="00A047E1" w:rsidRPr="00B51FDB" w:rsidRDefault="001A24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31E673F0" w:rsidR="00A047E1" w:rsidRPr="00B51FDB" w:rsidRDefault="001A24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23945287" w:rsidR="00A047E1" w:rsidRPr="00B51FDB" w:rsidRDefault="001A24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-5.3</w:t>
            </w:r>
            <w:r w:rsidR="00A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5DAFEBC4" w:rsidR="003F3212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265F25F8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 xml:space="preserve">по </w:t>
      </w:r>
      <w:r w:rsidR="001A24BA">
        <w:rPr>
          <w:rFonts w:ascii="Times New Roman" w:hAnsi="Times New Roman" w:cs="Times New Roman"/>
          <w:sz w:val="24"/>
          <w:szCs w:val="24"/>
        </w:rPr>
        <w:t>6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2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6A4C4A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</w:p>
    <w:p w14:paraId="5C606D5D" w14:textId="2282ADC2" w:rsidR="001F3DC9" w:rsidRDefault="006A4C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2F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3">
        <w:rPr>
          <w:rFonts w:ascii="Times New Roman" w:hAnsi="Times New Roman" w:cs="Times New Roman"/>
          <w:sz w:val="24"/>
          <w:szCs w:val="24"/>
        </w:rPr>
        <w:t>- положительная динамика</w:t>
      </w:r>
      <w:r w:rsidR="00686D4C" w:rsidRPr="00490FB0">
        <w:rPr>
          <w:rFonts w:ascii="Times New Roman" w:hAnsi="Times New Roman" w:cs="Times New Roman"/>
          <w:sz w:val="24"/>
          <w:szCs w:val="24"/>
        </w:rPr>
        <w:t>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B406C8B" w14:textId="2D64258F" w:rsidR="001A24BA" w:rsidRPr="001A24BA" w:rsidRDefault="001A24B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24BA">
        <w:rPr>
          <w:rFonts w:ascii="Times New Roman" w:hAnsi="Times New Roman" w:cs="Times New Roman"/>
          <w:bCs/>
          <w:sz w:val="24"/>
          <w:szCs w:val="24"/>
        </w:rPr>
        <w:t xml:space="preserve">1 вид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A24BA">
        <w:rPr>
          <w:rFonts w:ascii="Times New Roman" w:hAnsi="Times New Roman" w:cs="Times New Roman"/>
          <w:bCs/>
          <w:sz w:val="24"/>
          <w:szCs w:val="24"/>
        </w:rPr>
        <w:t>образование)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добавился за год.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16269B81" w:rsidR="00D6330D" w:rsidRPr="00084C58" w:rsidRDefault="001A24B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24933">
        <w:rPr>
          <w:rFonts w:ascii="Times New Roman" w:hAnsi="Times New Roman" w:cs="Times New Roman"/>
          <w:sz w:val="24"/>
          <w:szCs w:val="24"/>
        </w:rPr>
        <w:t xml:space="preserve">2023 г.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</w:t>
      </w:r>
      <w:r w:rsidR="009844C6">
        <w:rPr>
          <w:rFonts w:ascii="Times New Roman" w:hAnsi="Times New Roman" w:cs="Times New Roman"/>
          <w:sz w:val="24"/>
          <w:szCs w:val="24"/>
        </w:rPr>
        <w:t xml:space="preserve"> </w:t>
      </w:r>
      <w:r w:rsidR="00224933">
        <w:rPr>
          <w:rFonts w:ascii="Times New Roman" w:hAnsi="Times New Roman" w:cs="Times New Roman"/>
          <w:sz w:val="24"/>
          <w:szCs w:val="24"/>
        </w:rPr>
        <w:t xml:space="preserve"> наблюдается снижение ЮЛ на </w:t>
      </w:r>
      <w:r w:rsidR="009844C6">
        <w:rPr>
          <w:rFonts w:ascii="Times New Roman" w:hAnsi="Times New Roman" w:cs="Times New Roman"/>
          <w:sz w:val="24"/>
          <w:szCs w:val="24"/>
        </w:rPr>
        <w:t>5</w:t>
      </w:r>
      <w:r w:rsidR="00224933">
        <w:rPr>
          <w:rFonts w:ascii="Times New Roman" w:hAnsi="Times New Roman" w:cs="Times New Roman"/>
          <w:sz w:val="24"/>
          <w:szCs w:val="24"/>
        </w:rPr>
        <w:t xml:space="preserve"> единиц или 6</w:t>
      </w:r>
      <w:r w:rsidR="00084C58">
        <w:rPr>
          <w:rFonts w:ascii="Times New Roman" w:hAnsi="Times New Roman" w:cs="Times New Roman"/>
          <w:sz w:val="24"/>
          <w:szCs w:val="24"/>
        </w:rPr>
        <w:t>9,</w:t>
      </w:r>
      <w:r w:rsidR="009844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и сохранение числа ИП</w:t>
      </w:r>
      <w:proofErr w:type="gramStart"/>
      <w:r w:rsidR="00224933">
        <w:rPr>
          <w:rFonts w:ascii="Times New Roman" w:hAnsi="Times New Roman" w:cs="Times New Roman"/>
          <w:sz w:val="24"/>
          <w:szCs w:val="24"/>
        </w:rPr>
        <w:t xml:space="preserve">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ЮЛ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ажиотажным интересом физических лиц, 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осуществляющих коммерческую деятельность, к применению статуса плательщика налога на профессион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альный доход (</w:t>
      </w:r>
      <w:proofErr w:type="spellStart"/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самозан</w:t>
      </w:r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ятость</w:t>
      </w:r>
      <w:proofErr w:type="spellEnd"/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594F" w14:textId="77777777" w:rsidR="00724A05" w:rsidRDefault="00724A05" w:rsidP="00434DB7">
      <w:pPr>
        <w:spacing w:after="0" w:line="240" w:lineRule="auto"/>
      </w:pPr>
      <w:r>
        <w:separator/>
      </w:r>
    </w:p>
  </w:endnote>
  <w:endnote w:type="continuationSeparator" w:id="0">
    <w:p w14:paraId="3DD737EB" w14:textId="77777777" w:rsidR="00724A05" w:rsidRDefault="00724A0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83B79" w14:textId="77777777" w:rsidR="00724A05" w:rsidRDefault="00724A05" w:rsidP="00434DB7">
      <w:pPr>
        <w:spacing w:after="0" w:line="240" w:lineRule="auto"/>
      </w:pPr>
      <w:r>
        <w:separator/>
      </w:r>
    </w:p>
  </w:footnote>
  <w:footnote w:type="continuationSeparator" w:id="0">
    <w:p w14:paraId="77C436A6" w14:textId="77777777" w:rsidR="00724A05" w:rsidRDefault="00724A0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312CC"/>
    <w:rsid w:val="00032A9B"/>
    <w:rsid w:val="0003418E"/>
    <w:rsid w:val="0003636F"/>
    <w:rsid w:val="000366D0"/>
    <w:rsid w:val="0003716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82D2D"/>
    <w:rsid w:val="0019274D"/>
    <w:rsid w:val="00195F04"/>
    <w:rsid w:val="001A1184"/>
    <w:rsid w:val="001A24BA"/>
    <w:rsid w:val="001A3F9D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D7A2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4582D"/>
    <w:rsid w:val="0055057A"/>
    <w:rsid w:val="00550CA5"/>
    <w:rsid w:val="00563F7A"/>
    <w:rsid w:val="00567549"/>
    <w:rsid w:val="005675FB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0E5B"/>
    <w:rsid w:val="005B1429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4A05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4298"/>
    <w:rsid w:val="008E5B13"/>
    <w:rsid w:val="008F4649"/>
    <w:rsid w:val="009011C1"/>
    <w:rsid w:val="00903C9D"/>
    <w:rsid w:val="00905A92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527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E57A5"/>
    <w:rsid w:val="00AF5E0B"/>
    <w:rsid w:val="00B03B49"/>
    <w:rsid w:val="00B110AA"/>
    <w:rsid w:val="00B13E80"/>
    <w:rsid w:val="00B245CE"/>
    <w:rsid w:val="00B262F7"/>
    <w:rsid w:val="00B31AFB"/>
    <w:rsid w:val="00B415DD"/>
    <w:rsid w:val="00B47850"/>
    <w:rsid w:val="00B51FDB"/>
    <w:rsid w:val="00B607BE"/>
    <w:rsid w:val="00B61472"/>
    <w:rsid w:val="00B972F8"/>
    <w:rsid w:val="00B97730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BF7297"/>
    <w:rsid w:val="00C00055"/>
    <w:rsid w:val="00C0431C"/>
    <w:rsid w:val="00C0515C"/>
    <w:rsid w:val="00C05FB0"/>
    <w:rsid w:val="00C20371"/>
    <w:rsid w:val="00C20C35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5E7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E4A"/>
    <w:rsid w:val="00DF026F"/>
    <w:rsid w:val="00DF11FD"/>
    <w:rsid w:val="00DF245C"/>
    <w:rsid w:val="00DF3164"/>
    <w:rsid w:val="00E0490B"/>
    <w:rsid w:val="00E21419"/>
    <w:rsid w:val="00E24F21"/>
    <w:rsid w:val="00E33EDF"/>
    <w:rsid w:val="00E35885"/>
    <w:rsid w:val="00E36CCC"/>
    <w:rsid w:val="00E4016B"/>
    <w:rsid w:val="00E50540"/>
    <w:rsid w:val="00E63CCF"/>
    <w:rsid w:val="00E7122F"/>
    <w:rsid w:val="00E749A2"/>
    <w:rsid w:val="00E74F62"/>
    <w:rsid w:val="00E8243C"/>
    <w:rsid w:val="00E82A8E"/>
    <w:rsid w:val="00E83947"/>
    <w:rsid w:val="00EA00AF"/>
    <w:rsid w:val="00EA256E"/>
    <w:rsid w:val="00EB2446"/>
    <w:rsid w:val="00EB5303"/>
    <w:rsid w:val="00EB539F"/>
    <w:rsid w:val="00EC3717"/>
    <w:rsid w:val="00ED15C3"/>
    <w:rsid w:val="00ED64C6"/>
    <w:rsid w:val="00ED78BD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81</c:v>
                </c:pt>
                <c:pt idx="1">
                  <c:v>82</c:v>
                </c:pt>
                <c:pt idx="2">
                  <c:v>78</c:v>
                </c:pt>
                <c:pt idx="3">
                  <c:v>77</c:v>
                </c:pt>
                <c:pt idx="4">
                  <c:v>75</c:v>
                </c:pt>
                <c:pt idx="5">
                  <c:v>75</c:v>
                </c:pt>
                <c:pt idx="6">
                  <c:v>76</c:v>
                </c:pt>
                <c:pt idx="7">
                  <c:v>75</c:v>
                </c:pt>
                <c:pt idx="8">
                  <c:v>79</c:v>
                </c:pt>
                <c:pt idx="9">
                  <c:v>78</c:v>
                </c:pt>
                <c:pt idx="10">
                  <c:v>78</c:v>
                </c:pt>
                <c:pt idx="11">
                  <c:v>79</c:v>
                </c:pt>
                <c:pt idx="12">
                  <c:v>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317376"/>
        <c:axId val="83268352"/>
      </c:lineChart>
      <c:dateAx>
        <c:axId val="135317376"/>
        <c:scaling>
          <c:orientation val="minMax"/>
          <c:max val="45292"/>
          <c:min val="44927"/>
        </c:scaling>
        <c:delete val="0"/>
        <c:axPos val="b"/>
        <c:numFmt formatCode="m/d/yyyy" sourceLinked="1"/>
        <c:majorTickMark val="out"/>
        <c:minorTickMark val="none"/>
        <c:tickLblPos val="nextTo"/>
        <c:crossAx val="83268352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8326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17376"/>
        <c:crossesAt val="44927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10.01.2024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10.12.2023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0.27800000000000002</c:v>
                </c:pt>
                <c:pt idx="1">
                  <c:v>0.189</c:v>
                </c:pt>
                <c:pt idx="2">
                  <c:v>7.8E-2</c:v>
                </c:pt>
                <c:pt idx="3">
                  <c:v>0.23300000000000001</c:v>
                </c:pt>
                <c:pt idx="4">
                  <c:v>0.02</c:v>
                </c:pt>
                <c:pt idx="5">
                  <c:v>0.1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3.3000000000000002E-2</c:v>
                </c:pt>
                <c:pt idx="11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E30F-39D2-4A09-882B-911D182E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4</cp:revision>
  <cp:lastPrinted>2024-03-11T12:48:00Z</cp:lastPrinted>
  <dcterms:created xsi:type="dcterms:W3CDTF">2024-03-12T08:12:00Z</dcterms:created>
  <dcterms:modified xsi:type="dcterms:W3CDTF">2024-03-12T08:38:00Z</dcterms:modified>
</cp:coreProperties>
</file>