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34556F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547AEE" wp14:editId="47FCE0B7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-3175</wp:posOffset>
                  </wp:positionV>
                  <wp:extent cx="3532357" cy="1076325"/>
                  <wp:effectExtent l="0" t="0" r="0" b="0"/>
                  <wp:wrapNone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35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4556F" w:rsidRDefault="0034556F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:rsidR="002924DA" w:rsidRPr="002924DA" w:rsidRDefault="00DC6297" w:rsidP="00724939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ул. </w:t>
            </w:r>
            <w:proofErr w:type="spellStart"/>
            <w:r>
              <w:rPr>
                <w:rFonts w:ascii="Trebuchet MS" w:hAnsi="Trebuchet MS"/>
                <w:sz w:val="14"/>
                <w:szCs w:val="14"/>
              </w:rPr>
              <w:t>Тенишевой</w:t>
            </w:r>
            <w:proofErr w:type="spellEnd"/>
            <w:r w:rsidR="00724939">
              <w:rPr>
                <w:rFonts w:ascii="Trebuchet MS" w:hAnsi="Trebuchet MS"/>
                <w:sz w:val="14"/>
                <w:szCs w:val="14"/>
              </w:rPr>
              <w:t>, д.</w:t>
            </w:r>
            <w:r w:rsidR="00724939" w:rsidRPr="002924DA">
              <w:rPr>
                <w:rFonts w:ascii="Trebuchet MS" w:hAnsi="Trebuchet MS"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sz w:val="14"/>
                <w:szCs w:val="14"/>
              </w:rPr>
              <w:t>1</w:t>
            </w:r>
            <w:r w:rsidR="00724939" w:rsidRPr="002924DA">
              <w:rPr>
                <w:rFonts w:ascii="Trebuchet MS" w:hAnsi="Trebuchet MS"/>
                <w:sz w:val="14"/>
                <w:szCs w:val="14"/>
              </w:rPr>
              <w:t>5</w:t>
            </w:r>
            <w:r w:rsidR="00724939">
              <w:rPr>
                <w:rFonts w:ascii="Trebuchet MS" w:hAnsi="Trebuchet MS"/>
                <w:sz w:val="14"/>
                <w:szCs w:val="14"/>
              </w:rPr>
              <w:t>,</w:t>
            </w:r>
            <w:r w:rsidR="00724939"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>
              <w:rPr>
                <w:rFonts w:ascii="Trebuchet MS" w:hAnsi="Trebuchet MS"/>
                <w:sz w:val="14"/>
                <w:szCs w:val="14"/>
              </w:rPr>
              <w:t>214014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r w:rsidR="00A70F15">
              <w:fldChar w:fldCharType="begin"/>
            </w:r>
            <w:r w:rsidR="00A70F15" w:rsidRPr="00A70F15">
              <w:rPr>
                <w:lang w:val="en-US"/>
              </w:rPr>
              <w:instrText xml:space="preserve"> HYPERLINK "mailto:pressa@smolensk.atomsbt.ru" </w:instrText>
            </w:r>
            <w:r w:rsidR="00A70F15">
              <w:fldChar w:fldCharType="separate"/>
            </w:r>
            <w:r w:rsidRPr="002924D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pressa</w:t>
            </w:r>
            <w:r w:rsidRPr="00724939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@</w:t>
            </w:r>
            <w:r w:rsidRPr="002924D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smolensk</w:t>
            </w:r>
            <w:r w:rsidRPr="00724939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.</w:t>
            </w:r>
            <w:r w:rsidRPr="002924D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atomsbt</w:t>
            </w:r>
            <w:r w:rsidRPr="00724939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.</w:t>
            </w:r>
            <w:r w:rsidRPr="002924D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ru</w:t>
            </w:r>
            <w:r w:rsidR="00A70F15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fldChar w:fldCharType="end"/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A70F15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7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B67432" w:rsidRDefault="007A4FCA" w:rsidP="00BD1F1D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Cs w:val="22"/>
        </w:rPr>
      </w:pPr>
      <w:r>
        <w:rPr>
          <w:rFonts w:ascii="Trebuchet MS" w:hAnsi="Trebuchet MS"/>
          <w:b/>
          <w:color w:val="404040" w:themeColor="text1" w:themeTint="BF"/>
          <w:szCs w:val="22"/>
        </w:rPr>
        <w:t xml:space="preserve">ПРЕСС-РЕЛИЗ </w:t>
      </w:r>
      <w:r w:rsidR="004A7A3F">
        <w:rPr>
          <w:rFonts w:ascii="Trebuchet MS" w:hAnsi="Trebuchet MS"/>
          <w:b/>
          <w:color w:val="404040" w:themeColor="text1" w:themeTint="BF"/>
          <w:szCs w:val="22"/>
        </w:rPr>
        <w:t xml:space="preserve"> </w:t>
      </w:r>
    </w:p>
    <w:p w:rsidR="006366DE" w:rsidRPr="00E75B34" w:rsidRDefault="00A70F15" w:rsidP="00BD1F1D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Cs w:val="22"/>
        </w:rPr>
      </w:pPr>
      <w:r>
        <w:rPr>
          <w:rFonts w:ascii="Trebuchet MS" w:hAnsi="Trebuchet MS"/>
          <w:b/>
          <w:color w:val="404040" w:themeColor="text1" w:themeTint="BF"/>
          <w:szCs w:val="22"/>
        </w:rPr>
        <w:t>23</w:t>
      </w:r>
      <w:bookmarkStart w:id="0" w:name="_GoBack"/>
      <w:bookmarkEnd w:id="0"/>
      <w:r w:rsidR="00F05343">
        <w:rPr>
          <w:rFonts w:ascii="Trebuchet MS" w:hAnsi="Trebuchet MS"/>
          <w:b/>
          <w:color w:val="404040" w:themeColor="text1" w:themeTint="BF"/>
          <w:szCs w:val="22"/>
        </w:rPr>
        <w:t>.05.2018</w:t>
      </w:r>
    </w:p>
    <w:p w:rsidR="00744CEB" w:rsidRPr="007813D7" w:rsidRDefault="00744CEB" w:rsidP="006366DE">
      <w:pPr>
        <w:rPr>
          <w:rFonts w:ascii="Trebuchet MS" w:hAnsi="Trebuchet MS"/>
          <w:b/>
          <w:color w:val="404040" w:themeColor="text1" w:themeTint="BF"/>
          <w:sz w:val="24"/>
          <w:szCs w:val="24"/>
        </w:rPr>
      </w:pPr>
    </w:p>
    <w:p w:rsidR="007A4FCA" w:rsidRPr="001567E4" w:rsidRDefault="007A4FCA" w:rsidP="000309E6">
      <w:pPr>
        <w:jc w:val="both"/>
        <w:rPr>
          <w:rFonts w:ascii="Trebuchet MS" w:hAnsi="Trebuchet MS"/>
          <w:b/>
          <w:sz w:val="24"/>
          <w:szCs w:val="22"/>
        </w:rPr>
      </w:pPr>
      <w:r w:rsidRPr="001567E4">
        <w:rPr>
          <w:rFonts w:ascii="Trebuchet MS" w:hAnsi="Trebuchet MS"/>
          <w:b/>
          <w:sz w:val="24"/>
          <w:szCs w:val="22"/>
        </w:rPr>
        <w:t>«СмоленскАтомЭнергоСбыт»</w:t>
      </w:r>
      <w:r w:rsidR="00DC6297" w:rsidRPr="001567E4">
        <w:rPr>
          <w:rFonts w:ascii="Trebuchet MS" w:hAnsi="Trebuchet MS"/>
          <w:b/>
          <w:sz w:val="24"/>
          <w:szCs w:val="22"/>
        </w:rPr>
        <w:t xml:space="preserve"> </w:t>
      </w:r>
      <w:r w:rsidR="00D37012" w:rsidRPr="001567E4">
        <w:rPr>
          <w:rFonts w:ascii="Trebuchet MS" w:hAnsi="Trebuchet MS"/>
          <w:b/>
          <w:sz w:val="24"/>
          <w:szCs w:val="22"/>
        </w:rPr>
        <w:t xml:space="preserve">пресекает факты хищения электроэнергии </w:t>
      </w:r>
    </w:p>
    <w:p w:rsidR="00D37012" w:rsidRPr="001567E4" w:rsidRDefault="00D37012" w:rsidP="001710E1">
      <w:pPr>
        <w:jc w:val="both"/>
        <w:rPr>
          <w:rFonts w:ascii="Trebuchet MS" w:hAnsi="Trebuchet MS"/>
          <w:sz w:val="24"/>
          <w:szCs w:val="22"/>
        </w:rPr>
      </w:pPr>
    </w:p>
    <w:p w:rsidR="00D37012" w:rsidRPr="001567E4" w:rsidRDefault="00D37012" w:rsidP="001710E1">
      <w:pPr>
        <w:jc w:val="both"/>
        <w:rPr>
          <w:rFonts w:ascii="Trebuchet MS" w:hAnsi="Trebuchet MS"/>
          <w:sz w:val="24"/>
          <w:szCs w:val="22"/>
        </w:rPr>
      </w:pPr>
      <w:r w:rsidRPr="001567E4">
        <w:rPr>
          <w:rFonts w:ascii="Trebuchet MS" w:hAnsi="Trebuchet MS"/>
          <w:sz w:val="24"/>
          <w:szCs w:val="22"/>
        </w:rPr>
        <w:t xml:space="preserve">Специалисты </w:t>
      </w:r>
      <w:r w:rsidR="00553CD7">
        <w:rPr>
          <w:rFonts w:ascii="Trebuchet MS" w:hAnsi="Trebuchet MS"/>
          <w:sz w:val="24"/>
          <w:szCs w:val="22"/>
        </w:rPr>
        <w:t xml:space="preserve">филиала </w:t>
      </w:r>
      <w:r w:rsidRPr="001567E4">
        <w:rPr>
          <w:rFonts w:ascii="Trebuchet MS" w:hAnsi="Trebuchet MS"/>
          <w:sz w:val="24"/>
          <w:szCs w:val="22"/>
        </w:rPr>
        <w:t>«СмоленскАтомЭнергоСбыт» в ходе проведения рейдов</w:t>
      </w:r>
      <w:r w:rsidR="00A01F34">
        <w:rPr>
          <w:rFonts w:ascii="Trebuchet MS" w:hAnsi="Trebuchet MS"/>
          <w:sz w:val="24"/>
          <w:szCs w:val="22"/>
        </w:rPr>
        <w:t xml:space="preserve"> и</w:t>
      </w:r>
      <w:r w:rsidRPr="001567E4">
        <w:rPr>
          <w:rFonts w:ascii="Trebuchet MS" w:hAnsi="Trebuchet MS"/>
          <w:sz w:val="24"/>
          <w:szCs w:val="22"/>
        </w:rPr>
        <w:t xml:space="preserve"> контрольных обходов выявляют случаи несанкционированного потребления гражданами электрической энергии. Как правило, на нарушение закона недобросовестные потребители идут в том случае, </w:t>
      </w:r>
      <w:r w:rsidR="00F00FF7" w:rsidRPr="001567E4">
        <w:rPr>
          <w:rFonts w:ascii="Trebuchet MS" w:hAnsi="Trebuchet MS"/>
          <w:sz w:val="24"/>
          <w:szCs w:val="22"/>
        </w:rPr>
        <w:t xml:space="preserve">когда в отношении них ранее было применено ограничение электроснабжения в связи с </w:t>
      </w:r>
      <w:r w:rsidR="003C1251" w:rsidRPr="00D92833">
        <w:rPr>
          <w:rFonts w:ascii="Trebuchet MS" w:hAnsi="Trebuchet MS"/>
          <w:sz w:val="24"/>
          <w:szCs w:val="22"/>
        </w:rPr>
        <w:t xml:space="preserve">наличием </w:t>
      </w:r>
      <w:r w:rsidR="00D92833">
        <w:rPr>
          <w:rFonts w:ascii="Trebuchet MS" w:hAnsi="Trebuchet MS"/>
          <w:sz w:val="24"/>
          <w:szCs w:val="22"/>
        </w:rPr>
        <w:t>задолженност</w:t>
      </w:r>
      <w:r w:rsidR="003C1251" w:rsidRPr="00D92833">
        <w:rPr>
          <w:rFonts w:ascii="Trebuchet MS" w:hAnsi="Trebuchet MS"/>
          <w:sz w:val="24"/>
          <w:szCs w:val="22"/>
        </w:rPr>
        <w:t>и</w:t>
      </w:r>
      <w:r w:rsidR="00F00FF7" w:rsidRPr="00D92833">
        <w:rPr>
          <w:rFonts w:ascii="Trebuchet MS" w:hAnsi="Trebuchet MS"/>
          <w:sz w:val="24"/>
          <w:szCs w:val="22"/>
        </w:rPr>
        <w:t xml:space="preserve">. </w:t>
      </w:r>
    </w:p>
    <w:p w:rsidR="00F00FF7" w:rsidRPr="001567E4" w:rsidRDefault="00F00FF7" w:rsidP="001710E1">
      <w:pPr>
        <w:jc w:val="both"/>
        <w:rPr>
          <w:rFonts w:ascii="Trebuchet MS" w:hAnsi="Trebuchet MS"/>
          <w:sz w:val="24"/>
          <w:szCs w:val="22"/>
        </w:rPr>
      </w:pPr>
    </w:p>
    <w:p w:rsidR="00F35673" w:rsidRPr="001567E4" w:rsidRDefault="00F00FF7" w:rsidP="001710E1">
      <w:pPr>
        <w:jc w:val="both"/>
        <w:rPr>
          <w:rFonts w:ascii="Trebuchet MS" w:hAnsi="Trebuchet MS"/>
          <w:sz w:val="24"/>
          <w:szCs w:val="22"/>
        </w:rPr>
      </w:pPr>
      <w:r w:rsidRPr="001567E4">
        <w:rPr>
          <w:rFonts w:ascii="Trebuchet MS" w:hAnsi="Trebuchet MS"/>
          <w:sz w:val="24"/>
          <w:szCs w:val="22"/>
        </w:rPr>
        <w:t>В отношении таких граждан будет произведено повторн</w:t>
      </w:r>
      <w:r w:rsidR="003A5C8D">
        <w:rPr>
          <w:rFonts w:ascii="Trebuchet MS" w:hAnsi="Trebuchet MS"/>
          <w:sz w:val="24"/>
          <w:szCs w:val="22"/>
        </w:rPr>
        <w:t>ое ограничение электроснабжения и</w:t>
      </w:r>
      <w:r w:rsidRPr="001567E4">
        <w:rPr>
          <w:rFonts w:ascii="Trebuchet MS" w:hAnsi="Trebuchet MS"/>
          <w:sz w:val="24"/>
          <w:szCs w:val="22"/>
        </w:rPr>
        <w:t xml:space="preserve"> составлен протокол об административном правонарушении</w:t>
      </w:r>
      <w:r w:rsidR="00F35673" w:rsidRPr="001567E4">
        <w:rPr>
          <w:rFonts w:ascii="Trebuchet MS" w:hAnsi="Trebuchet MS"/>
          <w:sz w:val="24"/>
          <w:szCs w:val="22"/>
        </w:rPr>
        <w:t xml:space="preserve">. Помимо долга за неоплаченную вовремя электроэнергию, им придется оплатить услуги за введение режима ограничения, а после погашения задолженности – еще и услуги подключения к сетям электрической энергии. </w:t>
      </w:r>
    </w:p>
    <w:p w:rsidR="00F35673" w:rsidRPr="001567E4" w:rsidRDefault="00F35673" w:rsidP="001710E1">
      <w:pPr>
        <w:jc w:val="both"/>
        <w:rPr>
          <w:rFonts w:ascii="Trebuchet MS" w:hAnsi="Trebuchet MS"/>
          <w:sz w:val="24"/>
          <w:szCs w:val="22"/>
        </w:rPr>
      </w:pPr>
    </w:p>
    <w:p w:rsidR="00BF4758" w:rsidRPr="001567E4" w:rsidRDefault="00A01F34" w:rsidP="00BF4758">
      <w:pPr>
        <w:jc w:val="both"/>
        <w:rPr>
          <w:rFonts w:ascii="Trebuchet MS" w:hAnsi="Trebuchet MS"/>
          <w:sz w:val="24"/>
          <w:szCs w:val="22"/>
        </w:rPr>
      </w:pPr>
      <w:r>
        <w:rPr>
          <w:rFonts w:ascii="Trebuchet MS" w:hAnsi="Trebuchet MS"/>
          <w:sz w:val="24"/>
          <w:szCs w:val="22"/>
        </w:rPr>
        <w:t xml:space="preserve">Подобный случай был зафиксирован в </w:t>
      </w:r>
      <w:proofErr w:type="spellStart"/>
      <w:r>
        <w:rPr>
          <w:rFonts w:ascii="Trebuchet MS" w:hAnsi="Trebuchet MS"/>
          <w:sz w:val="24"/>
          <w:szCs w:val="22"/>
        </w:rPr>
        <w:t>Ярцевском</w:t>
      </w:r>
      <w:proofErr w:type="spellEnd"/>
      <w:r>
        <w:rPr>
          <w:rFonts w:ascii="Trebuchet MS" w:hAnsi="Trebuchet MS"/>
          <w:sz w:val="24"/>
          <w:szCs w:val="22"/>
        </w:rPr>
        <w:t xml:space="preserve"> районе. Гражданин</w:t>
      </w:r>
      <w:r w:rsidR="00F35673" w:rsidRPr="001567E4">
        <w:rPr>
          <w:rFonts w:ascii="Trebuchet MS" w:hAnsi="Trebuchet MS"/>
          <w:sz w:val="24"/>
          <w:szCs w:val="22"/>
        </w:rPr>
        <w:t xml:space="preserve"> в течение нескольких месяцев не оплачивал счета за свет. В итоге на лицевом счете образовалась задолж</w:t>
      </w:r>
      <w:r w:rsidR="00BF4758" w:rsidRPr="001567E4">
        <w:rPr>
          <w:rFonts w:ascii="Trebuchet MS" w:hAnsi="Trebuchet MS"/>
          <w:sz w:val="24"/>
          <w:szCs w:val="22"/>
        </w:rPr>
        <w:t xml:space="preserve">енность. </w:t>
      </w:r>
      <w:r>
        <w:rPr>
          <w:rFonts w:ascii="Trebuchet MS" w:hAnsi="Trebuchet MS"/>
          <w:sz w:val="24"/>
          <w:szCs w:val="22"/>
        </w:rPr>
        <w:t>Абоненту</w:t>
      </w:r>
      <w:r w:rsidR="00F35673" w:rsidRPr="001567E4">
        <w:rPr>
          <w:rFonts w:ascii="Trebuchet MS" w:hAnsi="Trebuchet MS"/>
          <w:sz w:val="24"/>
          <w:szCs w:val="22"/>
        </w:rPr>
        <w:t xml:space="preserve"> было вручено уведомление о предстоящем ограничении, однако оплаты долга так и не последовало, после чего в </w:t>
      </w:r>
      <w:r w:rsidR="00BF4758" w:rsidRPr="001567E4">
        <w:rPr>
          <w:rFonts w:ascii="Trebuchet MS" w:hAnsi="Trebuchet MS"/>
          <w:sz w:val="24"/>
          <w:szCs w:val="22"/>
        </w:rPr>
        <w:t>назначенный день энергетики провели отключение. Вместо того, чтобы погасить задолженность, «находчивый» должник самовольно подключился к электр</w:t>
      </w:r>
      <w:r>
        <w:rPr>
          <w:rFonts w:ascii="Trebuchet MS" w:hAnsi="Trebuchet MS"/>
          <w:sz w:val="24"/>
          <w:szCs w:val="22"/>
        </w:rPr>
        <w:t>ическим сетям и в его доме снова появился свет</w:t>
      </w:r>
      <w:r w:rsidR="00BF4758" w:rsidRPr="001567E4">
        <w:rPr>
          <w:rFonts w:ascii="Trebuchet MS" w:hAnsi="Trebuchet MS"/>
          <w:sz w:val="24"/>
          <w:szCs w:val="22"/>
        </w:rPr>
        <w:t xml:space="preserve">. Когда вскоре этот факт выяснился, нарушителя закона отключили повторно и гражданину был выставлен счет за </w:t>
      </w:r>
      <w:proofErr w:type="spellStart"/>
      <w:r w:rsidR="00BF4758" w:rsidRPr="001567E4">
        <w:rPr>
          <w:rFonts w:ascii="Trebuchet MS" w:hAnsi="Trebuchet MS"/>
          <w:sz w:val="24"/>
          <w:szCs w:val="22"/>
        </w:rPr>
        <w:t>безучетное</w:t>
      </w:r>
      <w:proofErr w:type="spellEnd"/>
      <w:r w:rsidR="00BF4758" w:rsidRPr="001567E4">
        <w:rPr>
          <w:rFonts w:ascii="Trebuchet MS" w:hAnsi="Trebuchet MS"/>
          <w:sz w:val="24"/>
          <w:szCs w:val="22"/>
        </w:rPr>
        <w:t xml:space="preserve"> потребление электрической энергии. Помимо этого, был составлен акт об административном правонарушении </w:t>
      </w:r>
      <w:r w:rsidR="00553CD7">
        <w:rPr>
          <w:rFonts w:ascii="Trebuchet MS" w:hAnsi="Trebuchet MS"/>
          <w:sz w:val="24"/>
          <w:szCs w:val="22"/>
        </w:rPr>
        <w:t xml:space="preserve">на основании </w:t>
      </w:r>
      <w:r w:rsidR="00BF4758" w:rsidRPr="001567E4">
        <w:rPr>
          <w:rFonts w:ascii="Trebuchet MS" w:hAnsi="Trebuchet MS"/>
          <w:sz w:val="24"/>
          <w:szCs w:val="22"/>
        </w:rPr>
        <w:t>ст.7.19 КоАП РФ за самовольное (</w:t>
      </w:r>
      <w:proofErr w:type="spellStart"/>
      <w:r w:rsidR="00BF4758" w:rsidRPr="001567E4">
        <w:rPr>
          <w:rFonts w:ascii="Trebuchet MS" w:hAnsi="Trebuchet MS"/>
          <w:sz w:val="24"/>
          <w:szCs w:val="22"/>
        </w:rPr>
        <w:t>безучетное</w:t>
      </w:r>
      <w:proofErr w:type="spellEnd"/>
      <w:r w:rsidR="00BF4758" w:rsidRPr="001567E4">
        <w:rPr>
          <w:rFonts w:ascii="Trebuchet MS" w:hAnsi="Trebuchet MS"/>
          <w:sz w:val="24"/>
          <w:szCs w:val="22"/>
        </w:rPr>
        <w:t xml:space="preserve">) подключение электрической энергии, что повлекло за собой наложение штрафа в размере </w:t>
      </w:r>
      <w:r>
        <w:rPr>
          <w:rFonts w:ascii="Trebuchet MS" w:hAnsi="Trebuchet MS"/>
          <w:sz w:val="24"/>
          <w:szCs w:val="22"/>
        </w:rPr>
        <w:t>10 000</w:t>
      </w:r>
      <w:r w:rsidR="00BF4758" w:rsidRPr="001567E4">
        <w:rPr>
          <w:rFonts w:ascii="Trebuchet MS" w:hAnsi="Trebuchet MS"/>
          <w:sz w:val="24"/>
          <w:szCs w:val="22"/>
        </w:rPr>
        <w:t xml:space="preserve"> рублей.</w:t>
      </w:r>
    </w:p>
    <w:p w:rsidR="00BF4758" w:rsidRPr="001567E4" w:rsidRDefault="00BF4758" w:rsidP="00BF4758">
      <w:pPr>
        <w:jc w:val="both"/>
        <w:rPr>
          <w:rFonts w:ascii="Trebuchet MS" w:hAnsi="Trebuchet MS"/>
          <w:sz w:val="24"/>
          <w:szCs w:val="22"/>
        </w:rPr>
      </w:pPr>
    </w:p>
    <w:p w:rsidR="00BF4758" w:rsidRPr="001567E4" w:rsidRDefault="00A01F34" w:rsidP="00BF4758">
      <w:pPr>
        <w:jc w:val="both"/>
        <w:rPr>
          <w:rFonts w:ascii="Trebuchet MS" w:hAnsi="Trebuchet MS"/>
          <w:sz w:val="24"/>
          <w:szCs w:val="22"/>
        </w:rPr>
      </w:pPr>
      <w:r>
        <w:rPr>
          <w:rFonts w:ascii="Trebuchet MS" w:hAnsi="Trebuchet MS"/>
          <w:sz w:val="24"/>
          <w:szCs w:val="22"/>
        </w:rPr>
        <w:t>Таким образом, нарушитель</w:t>
      </w:r>
      <w:r w:rsidR="00BF4758" w:rsidRPr="001567E4">
        <w:rPr>
          <w:rFonts w:ascii="Trebuchet MS" w:hAnsi="Trebuchet MS"/>
          <w:sz w:val="24"/>
          <w:szCs w:val="22"/>
        </w:rPr>
        <w:t xml:space="preserve"> теперь оплачивает основной долг</w:t>
      </w:r>
      <w:r>
        <w:rPr>
          <w:rFonts w:ascii="Trebuchet MS" w:hAnsi="Trebuchet MS"/>
          <w:sz w:val="24"/>
          <w:szCs w:val="22"/>
        </w:rPr>
        <w:t xml:space="preserve"> за электропотребление</w:t>
      </w:r>
      <w:r w:rsidR="00BF4758" w:rsidRPr="001567E4">
        <w:rPr>
          <w:rFonts w:ascii="Trebuchet MS" w:hAnsi="Trebuchet MS"/>
          <w:sz w:val="24"/>
          <w:szCs w:val="22"/>
        </w:rPr>
        <w:t xml:space="preserve">, долг </w:t>
      </w:r>
      <w:r>
        <w:rPr>
          <w:rFonts w:ascii="Trebuchet MS" w:hAnsi="Trebuchet MS"/>
          <w:sz w:val="24"/>
          <w:szCs w:val="22"/>
        </w:rPr>
        <w:t>по акту</w:t>
      </w:r>
      <w:r w:rsidR="00BF4758" w:rsidRPr="001567E4">
        <w:rPr>
          <w:rFonts w:ascii="Trebuchet MS" w:hAnsi="Trebuchet MS"/>
          <w:sz w:val="24"/>
          <w:szCs w:val="22"/>
        </w:rPr>
        <w:t xml:space="preserve"> </w:t>
      </w:r>
      <w:proofErr w:type="spellStart"/>
      <w:r w:rsidR="00BF4758" w:rsidRPr="001567E4">
        <w:rPr>
          <w:rFonts w:ascii="Trebuchet MS" w:hAnsi="Trebuchet MS"/>
          <w:sz w:val="24"/>
          <w:szCs w:val="22"/>
        </w:rPr>
        <w:t>безучетного</w:t>
      </w:r>
      <w:proofErr w:type="spellEnd"/>
      <w:r w:rsidR="00BF4758" w:rsidRPr="001567E4">
        <w:rPr>
          <w:rFonts w:ascii="Trebuchet MS" w:hAnsi="Trebuchet MS"/>
          <w:sz w:val="24"/>
          <w:szCs w:val="22"/>
        </w:rPr>
        <w:t xml:space="preserve"> потребления, штраф</w:t>
      </w:r>
      <w:r>
        <w:rPr>
          <w:rFonts w:ascii="Trebuchet MS" w:hAnsi="Trebuchet MS"/>
          <w:sz w:val="24"/>
          <w:szCs w:val="22"/>
        </w:rPr>
        <w:t xml:space="preserve"> за административное правонарушение</w:t>
      </w:r>
      <w:r w:rsidR="00BF4758" w:rsidRPr="001567E4">
        <w:rPr>
          <w:rFonts w:ascii="Trebuchet MS" w:hAnsi="Trebuchet MS"/>
          <w:sz w:val="24"/>
          <w:szCs w:val="22"/>
        </w:rPr>
        <w:t xml:space="preserve">, а также стоимость услуг отключения и подключения электрической энергии. </w:t>
      </w:r>
    </w:p>
    <w:p w:rsidR="00BF4758" w:rsidRPr="001567E4" w:rsidRDefault="00BF4758" w:rsidP="00BF4758">
      <w:pPr>
        <w:jc w:val="both"/>
        <w:rPr>
          <w:rFonts w:ascii="Trebuchet MS" w:hAnsi="Trebuchet MS"/>
          <w:sz w:val="24"/>
          <w:szCs w:val="22"/>
        </w:rPr>
      </w:pPr>
    </w:p>
    <w:p w:rsidR="00A01F34" w:rsidRDefault="00A01F34" w:rsidP="00BF4758">
      <w:pPr>
        <w:jc w:val="both"/>
        <w:rPr>
          <w:rFonts w:ascii="Trebuchet MS" w:hAnsi="Trebuchet MS"/>
          <w:sz w:val="24"/>
          <w:szCs w:val="22"/>
        </w:rPr>
      </w:pPr>
      <w:r w:rsidRPr="001567E4">
        <w:rPr>
          <w:rFonts w:ascii="Trebuchet MS" w:hAnsi="Trebuchet MS"/>
          <w:sz w:val="24"/>
          <w:szCs w:val="22"/>
        </w:rPr>
        <w:t>«СмоленскАтомЭнергоСбы</w:t>
      </w:r>
      <w:r w:rsidR="003A5C8D">
        <w:rPr>
          <w:rFonts w:ascii="Trebuchet MS" w:hAnsi="Trebuchet MS"/>
          <w:sz w:val="24"/>
          <w:szCs w:val="22"/>
        </w:rPr>
        <w:t xml:space="preserve">т» обращает внимание граждан: </w:t>
      </w:r>
      <w:r w:rsidRPr="001567E4">
        <w:rPr>
          <w:rFonts w:ascii="Trebuchet MS" w:hAnsi="Trebuchet MS"/>
          <w:sz w:val="24"/>
          <w:szCs w:val="22"/>
        </w:rPr>
        <w:t xml:space="preserve">если вы заметили, что кто-то из соседей незаконно подключился к электрическим сетям, немедленно сообщите об этом в </w:t>
      </w:r>
      <w:proofErr w:type="spellStart"/>
      <w:r w:rsidRPr="001567E4">
        <w:rPr>
          <w:rFonts w:ascii="Trebuchet MS" w:hAnsi="Trebuchet MS"/>
          <w:sz w:val="24"/>
          <w:szCs w:val="22"/>
        </w:rPr>
        <w:t>ресурсоснабжающую</w:t>
      </w:r>
      <w:proofErr w:type="spellEnd"/>
      <w:r w:rsidRPr="001567E4">
        <w:rPr>
          <w:rFonts w:ascii="Trebuchet MS" w:hAnsi="Trebuchet MS"/>
          <w:sz w:val="24"/>
          <w:szCs w:val="22"/>
        </w:rPr>
        <w:t xml:space="preserve"> организацию, свою управляющую компания, либо</w:t>
      </w:r>
      <w:r>
        <w:rPr>
          <w:rFonts w:ascii="Trebuchet MS" w:hAnsi="Trebuchet MS"/>
          <w:sz w:val="24"/>
          <w:szCs w:val="22"/>
        </w:rPr>
        <w:t xml:space="preserve"> в правоохранительные органы. Ведь</w:t>
      </w:r>
      <w:r w:rsidR="00BF4758" w:rsidRPr="001567E4">
        <w:rPr>
          <w:rFonts w:ascii="Trebuchet MS" w:hAnsi="Trebuchet MS"/>
          <w:sz w:val="24"/>
          <w:szCs w:val="22"/>
        </w:rPr>
        <w:t xml:space="preserve"> из-за тех, кто </w:t>
      </w:r>
      <w:r w:rsidR="00553CD7">
        <w:rPr>
          <w:rFonts w:ascii="Trebuchet MS" w:hAnsi="Trebuchet MS"/>
          <w:sz w:val="24"/>
          <w:szCs w:val="22"/>
        </w:rPr>
        <w:t>незаконно</w:t>
      </w:r>
      <w:r w:rsidR="00BF4758" w:rsidRPr="001567E4">
        <w:rPr>
          <w:rFonts w:ascii="Trebuchet MS" w:hAnsi="Trebuchet MS"/>
          <w:sz w:val="24"/>
          <w:szCs w:val="22"/>
        </w:rPr>
        <w:t xml:space="preserve"> вмешивается в работу электрооборудования, могут пострадать и все соседи. Действия </w:t>
      </w:r>
      <w:proofErr w:type="spellStart"/>
      <w:r w:rsidR="00BF4758" w:rsidRPr="001567E4">
        <w:rPr>
          <w:rFonts w:ascii="Trebuchet MS" w:hAnsi="Trebuchet MS"/>
          <w:sz w:val="24"/>
          <w:szCs w:val="22"/>
        </w:rPr>
        <w:t>эн</w:t>
      </w:r>
      <w:r w:rsidR="00D37012" w:rsidRPr="001567E4">
        <w:rPr>
          <w:rFonts w:ascii="Trebuchet MS" w:hAnsi="Trebuchet MS"/>
          <w:sz w:val="24"/>
          <w:szCs w:val="22"/>
        </w:rPr>
        <w:t>ерговоров</w:t>
      </w:r>
      <w:proofErr w:type="spellEnd"/>
      <w:r w:rsidR="00D37012" w:rsidRPr="001567E4">
        <w:rPr>
          <w:rFonts w:ascii="Trebuchet MS" w:hAnsi="Trebuchet MS"/>
          <w:sz w:val="24"/>
          <w:szCs w:val="22"/>
        </w:rPr>
        <w:t xml:space="preserve"> приводят к снижению качества электроснабжения добросовестных потребителей</w:t>
      </w:r>
      <w:r w:rsidR="00BF4758" w:rsidRPr="001567E4">
        <w:rPr>
          <w:rFonts w:ascii="Trebuchet MS" w:hAnsi="Trebuchet MS"/>
          <w:sz w:val="24"/>
          <w:szCs w:val="22"/>
        </w:rPr>
        <w:t xml:space="preserve">, в доме </w:t>
      </w:r>
      <w:r w:rsidR="00D37012" w:rsidRPr="001567E4">
        <w:rPr>
          <w:rFonts w:ascii="Trebuchet MS" w:hAnsi="Trebuchet MS"/>
          <w:sz w:val="24"/>
          <w:szCs w:val="22"/>
        </w:rPr>
        <w:t>происходят скачки напряжения и отключения электричества</w:t>
      </w:r>
      <w:r w:rsidR="00BF4758" w:rsidRPr="001567E4">
        <w:rPr>
          <w:rFonts w:ascii="Trebuchet MS" w:hAnsi="Trebuchet MS"/>
          <w:sz w:val="24"/>
          <w:szCs w:val="22"/>
        </w:rPr>
        <w:t xml:space="preserve">. </w:t>
      </w:r>
      <w:r w:rsidR="00D37012" w:rsidRPr="001567E4">
        <w:rPr>
          <w:rFonts w:ascii="Trebuchet MS" w:hAnsi="Trebuchet MS"/>
          <w:sz w:val="24"/>
          <w:szCs w:val="22"/>
        </w:rPr>
        <w:t>Кроме того, такие действия могут закончиться серьезной травмой, как нарушителя, так и посторонних лиц</w:t>
      </w:r>
      <w:r w:rsidR="00BF4758" w:rsidRPr="001567E4">
        <w:rPr>
          <w:rFonts w:ascii="Trebuchet MS" w:hAnsi="Trebuchet MS"/>
          <w:sz w:val="24"/>
          <w:szCs w:val="22"/>
        </w:rPr>
        <w:t xml:space="preserve">. </w:t>
      </w:r>
    </w:p>
    <w:p w:rsidR="00A01F34" w:rsidRDefault="00A01F34" w:rsidP="00BF4758">
      <w:pPr>
        <w:jc w:val="both"/>
        <w:rPr>
          <w:rFonts w:ascii="Trebuchet MS" w:hAnsi="Trebuchet MS"/>
          <w:sz w:val="24"/>
          <w:szCs w:val="22"/>
        </w:rPr>
      </w:pPr>
    </w:p>
    <w:p w:rsidR="00A62441" w:rsidRDefault="004E24A4" w:rsidP="00F05343">
      <w:pPr>
        <w:jc w:val="both"/>
        <w:rPr>
          <w:rFonts w:ascii="Trebuchet MS" w:hAnsi="Trebuchet MS"/>
          <w:sz w:val="24"/>
          <w:szCs w:val="22"/>
        </w:rPr>
      </w:pPr>
      <w:r w:rsidRPr="001567E4">
        <w:rPr>
          <w:rFonts w:ascii="Trebuchet MS" w:hAnsi="Trebuchet MS"/>
          <w:sz w:val="24"/>
          <w:szCs w:val="22"/>
        </w:rPr>
        <w:t xml:space="preserve">В случае, если вы обнаружили некорректную работу своего </w:t>
      </w:r>
      <w:r w:rsidR="00553CD7">
        <w:rPr>
          <w:rFonts w:ascii="Trebuchet MS" w:hAnsi="Trebuchet MS"/>
          <w:sz w:val="24"/>
          <w:szCs w:val="22"/>
        </w:rPr>
        <w:t xml:space="preserve">счетчика электроэнергии или </w:t>
      </w:r>
      <w:r w:rsidRPr="001567E4">
        <w:rPr>
          <w:rFonts w:ascii="Trebuchet MS" w:hAnsi="Trebuchet MS"/>
          <w:sz w:val="24"/>
          <w:szCs w:val="22"/>
        </w:rPr>
        <w:t>повреждение</w:t>
      </w:r>
      <w:r w:rsidR="00F35673" w:rsidRPr="001567E4">
        <w:rPr>
          <w:rFonts w:ascii="Trebuchet MS" w:hAnsi="Trebuchet MS"/>
          <w:sz w:val="24"/>
          <w:szCs w:val="22"/>
        </w:rPr>
        <w:t xml:space="preserve"> пломбы, необходимо обратиться</w:t>
      </w:r>
      <w:r w:rsidR="00D92833">
        <w:rPr>
          <w:rFonts w:ascii="Trebuchet MS" w:hAnsi="Trebuchet MS"/>
          <w:sz w:val="24"/>
          <w:szCs w:val="22"/>
        </w:rPr>
        <w:t xml:space="preserve"> </w:t>
      </w:r>
      <w:r w:rsidR="00F35673" w:rsidRPr="001567E4">
        <w:rPr>
          <w:rFonts w:ascii="Trebuchet MS" w:hAnsi="Trebuchet MS"/>
          <w:sz w:val="24"/>
          <w:szCs w:val="22"/>
        </w:rPr>
        <w:t>в управляющую кампанию, либо в филиал «СмоленскАтомЭнергоСбыт»</w:t>
      </w:r>
      <w:r w:rsidRPr="001567E4">
        <w:rPr>
          <w:rFonts w:ascii="Trebuchet MS" w:hAnsi="Trebuchet MS"/>
          <w:sz w:val="24"/>
          <w:szCs w:val="22"/>
        </w:rPr>
        <w:t xml:space="preserve">. </w:t>
      </w:r>
    </w:p>
    <w:p w:rsidR="00F05343" w:rsidRPr="00A62441" w:rsidRDefault="00F05343" w:rsidP="00F05343">
      <w:pPr>
        <w:jc w:val="both"/>
        <w:rPr>
          <w:rFonts w:ascii="Trebuchet MS" w:hAnsi="Trebuchet MS"/>
          <w:sz w:val="24"/>
          <w:szCs w:val="22"/>
        </w:rPr>
      </w:pPr>
      <w:r w:rsidRPr="001567E4">
        <w:rPr>
          <w:rFonts w:ascii="Trebuchet MS" w:hAnsi="Trebuchet MS"/>
          <w:i/>
          <w:iCs/>
          <w:sz w:val="24"/>
          <w:szCs w:val="24"/>
        </w:rPr>
        <w:lastRenderedPageBreak/>
        <w:t>«СмоленскАтомЭнергоСбыт» - филиал АО «</w:t>
      </w:r>
      <w:proofErr w:type="spellStart"/>
      <w:r w:rsidRPr="001567E4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1567E4">
        <w:rPr>
          <w:rFonts w:ascii="Trebuchet MS" w:hAnsi="Trebuchet MS"/>
          <w:i/>
          <w:iCs/>
          <w:sz w:val="24"/>
          <w:szCs w:val="24"/>
        </w:rPr>
        <w:t>», гарантирующего поставщика электроэнергии в Смоленской области, обслуживающий более 12 тыс. юридических лиц и 380 тыс. жителей региона.</w:t>
      </w:r>
    </w:p>
    <w:p w:rsidR="00F05343" w:rsidRPr="001567E4" w:rsidRDefault="00F05343" w:rsidP="00F05343">
      <w:pPr>
        <w:jc w:val="both"/>
        <w:rPr>
          <w:rFonts w:ascii="Trebuchet MS" w:hAnsi="Trebuchet MS"/>
          <w:i/>
          <w:iCs/>
          <w:sz w:val="24"/>
          <w:szCs w:val="24"/>
        </w:rPr>
      </w:pPr>
      <w:r w:rsidRPr="001567E4">
        <w:rPr>
          <w:rFonts w:ascii="Trebuchet MS" w:hAnsi="Trebuchet MS"/>
          <w:i/>
          <w:iCs/>
          <w:sz w:val="24"/>
          <w:szCs w:val="24"/>
        </w:rPr>
        <w:t>АО «</w:t>
      </w:r>
      <w:proofErr w:type="spellStart"/>
      <w:r w:rsidRPr="001567E4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1567E4">
        <w:rPr>
          <w:rFonts w:ascii="Trebuchet MS" w:hAnsi="Trebuchet MS"/>
          <w:i/>
          <w:iCs/>
          <w:sz w:val="24"/>
          <w:szCs w:val="24"/>
        </w:rPr>
        <w:t xml:space="preserve">» — </w:t>
      </w:r>
      <w:proofErr w:type="spellStart"/>
      <w:r w:rsidRPr="001567E4">
        <w:rPr>
          <w:rFonts w:ascii="Trebuchet MS" w:hAnsi="Trebuchet MS"/>
          <w:i/>
          <w:iCs/>
          <w:sz w:val="24"/>
          <w:szCs w:val="24"/>
        </w:rPr>
        <w:t>энергосбытовая</w:t>
      </w:r>
      <w:proofErr w:type="spellEnd"/>
      <w:r w:rsidRPr="001567E4">
        <w:rPr>
          <w:rFonts w:ascii="Trebuchet MS" w:hAnsi="Trebuchet MS"/>
          <w:i/>
          <w:iCs/>
          <w:sz w:val="24"/>
          <w:szCs w:val="24"/>
        </w:rPr>
        <w:t xml:space="preserve"> компания, выполняющая функции гарантирующего поставщика электроэнергии в четырех регионах РФ. Центральный офис организации расположен в Москве, филиалы и обособленные подразделения АО «</w:t>
      </w:r>
      <w:proofErr w:type="spellStart"/>
      <w:r w:rsidRPr="001567E4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1567E4">
        <w:rPr>
          <w:rFonts w:ascii="Trebuchet MS" w:hAnsi="Trebuchet MS"/>
          <w:i/>
          <w:iCs/>
          <w:sz w:val="24"/>
          <w:szCs w:val="24"/>
        </w:rPr>
        <w:t>» работают в Курской, Мурманской, Смоленской и Тверской областях. Клиентами АО «</w:t>
      </w:r>
      <w:proofErr w:type="spellStart"/>
      <w:r w:rsidRPr="001567E4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1567E4">
        <w:rPr>
          <w:rFonts w:ascii="Trebuchet MS" w:hAnsi="Trebuchet MS"/>
          <w:i/>
          <w:iCs/>
          <w:sz w:val="24"/>
          <w:szCs w:val="24"/>
        </w:rPr>
        <w:t>» являются более 50 тыс. юридических лиц и около 2 млн домохозяйств. Объем реализованной филиалами и обособленными подразделениями АО «</w:t>
      </w:r>
      <w:proofErr w:type="spellStart"/>
      <w:r w:rsidRPr="001567E4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1567E4">
        <w:rPr>
          <w:rFonts w:ascii="Trebuchet MS" w:hAnsi="Trebuchet MS"/>
          <w:i/>
          <w:iCs/>
          <w:sz w:val="24"/>
          <w:szCs w:val="24"/>
        </w:rPr>
        <w:t xml:space="preserve">» электроэнергии в 2017 году превысил 16 млрд </w:t>
      </w:r>
      <w:proofErr w:type="spellStart"/>
      <w:r w:rsidRPr="001567E4">
        <w:rPr>
          <w:rFonts w:ascii="Trebuchet MS" w:hAnsi="Trebuchet MS"/>
          <w:i/>
          <w:iCs/>
          <w:sz w:val="24"/>
          <w:szCs w:val="24"/>
        </w:rPr>
        <w:t>кВтч</w:t>
      </w:r>
      <w:proofErr w:type="spellEnd"/>
      <w:r w:rsidRPr="001567E4">
        <w:rPr>
          <w:rFonts w:ascii="Trebuchet MS" w:hAnsi="Trebuchet MS"/>
          <w:i/>
          <w:iCs/>
          <w:sz w:val="24"/>
          <w:szCs w:val="24"/>
        </w:rPr>
        <w:t>. Компания входит в контур управления АО «Концерн Росэнергоатом» — энергетического дивизиона ГК «</w:t>
      </w:r>
      <w:proofErr w:type="spellStart"/>
      <w:r w:rsidRPr="001567E4">
        <w:rPr>
          <w:rFonts w:ascii="Trebuchet MS" w:hAnsi="Trebuchet MS"/>
          <w:i/>
          <w:iCs/>
          <w:sz w:val="24"/>
          <w:szCs w:val="24"/>
        </w:rPr>
        <w:t>Росатом</w:t>
      </w:r>
      <w:proofErr w:type="spellEnd"/>
      <w:r w:rsidRPr="001567E4">
        <w:rPr>
          <w:rFonts w:ascii="Trebuchet MS" w:hAnsi="Trebuchet MS"/>
          <w:i/>
          <w:iCs/>
          <w:sz w:val="24"/>
          <w:szCs w:val="24"/>
        </w:rPr>
        <w:t>».</w:t>
      </w:r>
    </w:p>
    <w:p w:rsidR="00F05343" w:rsidRPr="001567E4" w:rsidRDefault="00F05343" w:rsidP="00F05343">
      <w:pPr>
        <w:jc w:val="both"/>
        <w:rPr>
          <w:rFonts w:ascii="Trebuchet MS" w:hAnsi="Trebuchet MS"/>
          <w:sz w:val="24"/>
          <w:szCs w:val="24"/>
        </w:rPr>
      </w:pPr>
      <w:r w:rsidRPr="001567E4">
        <w:rPr>
          <w:rFonts w:ascii="Trebuchet MS" w:hAnsi="Trebuchet MS"/>
          <w:i/>
          <w:iCs/>
          <w:sz w:val="24"/>
          <w:szCs w:val="24"/>
        </w:rPr>
        <w:t xml:space="preserve">Информация о деятельности компании регулярно обновляется на корпоративном сайте </w:t>
      </w:r>
      <w:hyperlink r:id="rId8" w:history="1">
        <w:r w:rsidRPr="001567E4">
          <w:rPr>
            <w:rStyle w:val="a6"/>
            <w:rFonts w:ascii="Trebuchet MS" w:hAnsi="Trebuchet MS"/>
            <w:i/>
            <w:iCs/>
            <w:sz w:val="24"/>
            <w:szCs w:val="24"/>
          </w:rPr>
          <w:t>www.atоmsbt.ru</w:t>
        </w:r>
      </w:hyperlink>
    </w:p>
    <w:p w:rsidR="00A20499" w:rsidRPr="001567E4" w:rsidRDefault="00A20499" w:rsidP="000309E6">
      <w:pPr>
        <w:jc w:val="both"/>
        <w:rPr>
          <w:rFonts w:ascii="Trebuchet MS" w:hAnsi="Trebuchet MS"/>
          <w:sz w:val="24"/>
          <w:szCs w:val="24"/>
        </w:rPr>
      </w:pPr>
    </w:p>
    <w:p w:rsidR="000529D4" w:rsidRPr="001567E4" w:rsidRDefault="000529D4" w:rsidP="000529D4">
      <w:pPr>
        <w:jc w:val="right"/>
        <w:rPr>
          <w:rFonts w:ascii="Trebuchet MS" w:hAnsi="Trebuchet MS"/>
          <w:b/>
          <w:sz w:val="24"/>
          <w:szCs w:val="24"/>
        </w:rPr>
      </w:pPr>
      <w:r w:rsidRPr="001567E4">
        <w:rPr>
          <w:rFonts w:ascii="Trebuchet MS" w:hAnsi="Trebuchet MS"/>
          <w:b/>
          <w:sz w:val="24"/>
          <w:szCs w:val="24"/>
        </w:rPr>
        <w:t>Пресс-служба филиала «СмоленскАтомЭнергоСбыт»</w:t>
      </w:r>
    </w:p>
    <w:sectPr w:rsidR="000529D4" w:rsidRPr="001567E4" w:rsidSect="008D7122">
      <w:pgSz w:w="11906" w:h="16838"/>
      <w:pgMar w:top="851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787"/>
    <w:rsid w:val="00001DB5"/>
    <w:rsid w:val="0000422A"/>
    <w:rsid w:val="00006DDD"/>
    <w:rsid w:val="000109A6"/>
    <w:rsid w:val="00011B76"/>
    <w:rsid w:val="00014606"/>
    <w:rsid w:val="000309E6"/>
    <w:rsid w:val="00033EF3"/>
    <w:rsid w:val="000369D6"/>
    <w:rsid w:val="00047007"/>
    <w:rsid w:val="000529D4"/>
    <w:rsid w:val="00055C40"/>
    <w:rsid w:val="00061AD4"/>
    <w:rsid w:val="00072284"/>
    <w:rsid w:val="00073284"/>
    <w:rsid w:val="00075F94"/>
    <w:rsid w:val="000822AD"/>
    <w:rsid w:val="00083344"/>
    <w:rsid w:val="00084A05"/>
    <w:rsid w:val="0009094F"/>
    <w:rsid w:val="00093016"/>
    <w:rsid w:val="00094617"/>
    <w:rsid w:val="00095F80"/>
    <w:rsid w:val="00096499"/>
    <w:rsid w:val="00097310"/>
    <w:rsid w:val="000A0CC7"/>
    <w:rsid w:val="000A3468"/>
    <w:rsid w:val="000A4C36"/>
    <w:rsid w:val="000B1B0B"/>
    <w:rsid w:val="000B2EC3"/>
    <w:rsid w:val="000B7F13"/>
    <w:rsid w:val="000C0D5B"/>
    <w:rsid w:val="000C1398"/>
    <w:rsid w:val="000C3724"/>
    <w:rsid w:val="000C7682"/>
    <w:rsid w:val="000D1A2F"/>
    <w:rsid w:val="000D6BE0"/>
    <w:rsid w:val="000F1952"/>
    <w:rsid w:val="000F4CBF"/>
    <w:rsid w:val="00103F3C"/>
    <w:rsid w:val="00103F88"/>
    <w:rsid w:val="00107EF3"/>
    <w:rsid w:val="00120D7C"/>
    <w:rsid w:val="00121CCB"/>
    <w:rsid w:val="001234FA"/>
    <w:rsid w:val="001250E7"/>
    <w:rsid w:val="00125293"/>
    <w:rsid w:val="00134FE6"/>
    <w:rsid w:val="00143917"/>
    <w:rsid w:val="001567E4"/>
    <w:rsid w:val="001621F7"/>
    <w:rsid w:val="0016240C"/>
    <w:rsid w:val="001710E1"/>
    <w:rsid w:val="00173334"/>
    <w:rsid w:val="00180674"/>
    <w:rsid w:val="00183FEB"/>
    <w:rsid w:val="00184B45"/>
    <w:rsid w:val="0018682C"/>
    <w:rsid w:val="00196BCE"/>
    <w:rsid w:val="001B4530"/>
    <w:rsid w:val="001B471E"/>
    <w:rsid w:val="001B7C94"/>
    <w:rsid w:val="001C20B9"/>
    <w:rsid w:val="001C5F67"/>
    <w:rsid w:val="001D062D"/>
    <w:rsid w:val="001D2DEC"/>
    <w:rsid w:val="001F2493"/>
    <w:rsid w:val="00201C4B"/>
    <w:rsid w:val="00201D88"/>
    <w:rsid w:val="00203604"/>
    <w:rsid w:val="00207328"/>
    <w:rsid w:val="0021105D"/>
    <w:rsid w:val="002276CB"/>
    <w:rsid w:val="00232586"/>
    <w:rsid w:val="00232FCE"/>
    <w:rsid w:val="0023582C"/>
    <w:rsid w:val="002450BC"/>
    <w:rsid w:val="0024554D"/>
    <w:rsid w:val="00250848"/>
    <w:rsid w:val="00252A81"/>
    <w:rsid w:val="00257795"/>
    <w:rsid w:val="00257A27"/>
    <w:rsid w:val="00262664"/>
    <w:rsid w:val="00265BAC"/>
    <w:rsid w:val="00270A0B"/>
    <w:rsid w:val="002736D4"/>
    <w:rsid w:val="00276D2A"/>
    <w:rsid w:val="00283C35"/>
    <w:rsid w:val="00284741"/>
    <w:rsid w:val="00286601"/>
    <w:rsid w:val="002924DA"/>
    <w:rsid w:val="00293C36"/>
    <w:rsid w:val="002B68E8"/>
    <w:rsid w:val="002B7069"/>
    <w:rsid w:val="002C41FD"/>
    <w:rsid w:val="002C4CE9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64EF"/>
    <w:rsid w:val="00337A5C"/>
    <w:rsid w:val="003443B0"/>
    <w:rsid w:val="00344FE2"/>
    <w:rsid w:val="0034556F"/>
    <w:rsid w:val="003478BE"/>
    <w:rsid w:val="00355515"/>
    <w:rsid w:val="00355AF9"/>
    <w:rsid w:val="003607DD"/>
    <w:rsid w:val="00373E88"/>
    <w:rsid w:val="003911A1"/>
    <w:rsid w:val="003964E2"/>
    <w:rsid w:val="003A23DF"/>
    <w:rsid w:val="003A2B48"/>
    <w:rsid w:val="003A5C8D"/>
    <w:rsid w:val="003B6AB6"/>
    <w:rsid w:val="003C1251"/>
    <w:rsid w:val="003C306E"/>
    <w:rsid w:val="003C5465"/>
    <w:rsid w:val="003C61AA"/>
    <w:rsid w:val="003D05DE"/>
    <w:rsid w:val="003D0A91"/>
    <w:rsid w:val="003D0D76"/>
    <w:rsid w:val="003D7D7A"/>
    <w:rsid w:val="003E255B"/>
    <w:rsid w:val="003E4AF8"/>
    <w:rsid w:val="00402C78"/>
    <w:rsid w:val="00411839"/>
    <w:rsid w:val="004119E8"/>
    <w:rsid w:val="004168F0"/>
    <w:rsid w:val="00427A88"/>
    <w:rsid w:val="004314A2"/>
    <w:rsid w:val="00432E2F"/>
    <w:rsid w:val="00443722"/>
    <w:rsid w:val="00446B23"/>
    <w:rsid w:val="004506EA"/>
    <w:rsid w:val="00450F3C"/>
    <w:rsid w:val="00456DE5"/>
    <w:rsid w:val="00461231"/>
    <w:rsid w:val="00491A25"/>
    <w:rsid w:val="00492C06"/>
    <w:rsid w:val="0049310E"/>
    <w:rsid w:val="00496B27"/>
    <w:rsid w:val="004A1FC4"/>
    <w:rsid w:val="004A3861"/>
    <w:rsid w:val="004A7A3F"/>
    <w:rsid w:val="004B0CE3"/>
    <w:rsid w:val="004E0B1E"/>
    <w:rsid w:val="004E24A4"/>
    <w:rsid w:val="004E2FEE"/>
    <w:rsid w:val="004F0089"/>
    <w:rsid w:val="004F5335"/>
    <w:rsid w:val="004F6E84"/>
    <w:rsid w:val="00500003"/>
    <w:rsid w:val="00500C78"/>
    <w:rsid w:val="00510F7D"/>
    <w:rsid w:val="00523402"/>
    <w:rsid w:val="005234B8"/>
    <w:rsid w:val="00523A75"/>
    <w:rsid w:val="00524F6B"/>
    <w:rsid w:val="005409FF"/>
    <w:rsid w:val="00545C1C"/>
    <w:rsid w:val="00547E1C"/>
    <w:rsid w:val="00553CD7"/>
    <w:rsid w:val="005547EB"/>
    <w:rsid w:val="0055626F"/>
    <w:rsid w:val="00574248"/>
    <w:rsid w:val="00574FBE"/>
    <w:rsid w:val="0057784F"/>
    <w:rsid w:val="00591DF6"/>
    <w:rsid w:val="00597E24"/>
    <w:rsid w:val="005A3268"/>
    <w:rsid w:val="005A4068"/>
    <w:rsid w:val="005A5CC9"/>
    <w:rsid w:val="005B04FE"/>
    <w:rsid w:val="005B18A7"/>
    <w:rsid w:val="005B3E5F"/>
    <w:rsid w:val="005B5EEF"/>
    <w:rsid w:val="005B6958"/>
    <w:rsid w:val="005C4356"/>
    <w:rsid w:val="005D336C"/>
    <w:rsid w:val="005D5FBF"/>
    <w:rsid w:val="005E4021"/>
    <w:rsid w:val="005E597E"/>
    <w:rsid w:val="005F07A5"/>
    <w:rsid w:val="005F2C97"/>
    <w:rsid w:val="005F3C85"/>
    <w:rsid w:val="005F7A3E"/>
    <w:rsid w:val="0060053F"/>
    <w:rsid w:val="00603E35"/>
    <w:rsid w:val="00613B1A"/>
    <w:rsid w:val="006242B9"/>
    <w:rsid w:val="006254E7"/>
    <w:rsid w:val="00634550"/>
    <w:rsid w:val="006352AD"/>
    <w:rsid w:val="006366DE"/>
    <w:rsid w:val="00642BC0"/>
    <w:rsid w:val="00643179"/>
    <w:rsid w:val="00650386"/>
    <w:rsid w:val="00650D35"/>
    <w:rsid w:val="00652EAE"/>
    <w:rsid w:val="00653617"/>
    <w:rsid w:val="00655411"/>
    <w:rsid w:val="0065768F"/>
    <w:rsid w:val="00662CAE"/>
    <w:rsid w:val="00670C00"/>
    <w:rsid w:val="00673135"/>
    <w:rsid w:val="00674D8B"/>
    <w:rsid w:val="00677ABA"/>
    <w:rsid w:val="00685D60"/>
    <w:rsid w:val="00686125"/>
    <w:rsid w:val="00687915"/>
    <w:rsid w:val="0069112C"/>
    <w:rsid w:val="00694545"/>
    <w:rsid w:val="006974AE"/>
    <w:rsid w:val="006A489F"/>
    <w:rsid w:val="006A5188"/>
    <w:rsid w:val="006B13C2"/>
    <w:rsid w:val="006C4DC0"/>
    <w:rsid w:val="006C5DCC"/>
    <w:rsid w:val="006C6B44"/>
    <w:rsid w:val="006D0EA6"/>
    <w:rsid w:val="006D2C94"/>
    <w:rsid w:val="006E4C47"/>
    <w:rsid w:val="006F3F7A"/>
    <w:rsid w:val="00721331"/>
    <w:rsid w:val="00724939"/>
    <w:rsid w:val="00733E5A"/>
    <w:rsid w:val="00736ADA"/>
    <w:rsid w:val="00737DA0"/>
    <w:rsid w:val="00744CEB"/>
    <w:rsid w:val="00751AE2"/>
    <w:rsid w:val="007537E0"/>
    <w:rsid w:val="0075490E"/>
    <w:rsid w:val="00771D3B"/>
    <w:rsid w:val="007747E7"/>
    <w:rsid w:val="007813D7"/>
    <w:rsid w:val="00782751"/>
    <w:rsid w:val="00793A7A"/>
    <w:rsid w:val="00794E8D"/>
    <w:rsid w:val="00795E65"/>
    <w:rsid w:val="007A08AB"/>
    <w:rsid w:val="007A4FCA"/>
    <w:rsid w:val="007B7BEC"/>
    <w:rsid w:val="007D0FAD"/>
    <w:rsid w:val="007E2993"/>
    <w:rsid w:val="007E7AEE"/>
    <w:rsid w:val="007F368F"/>
    <w:rsid w:val="00802A12"/>
    <w:rsid w:val="0080483C"/>
    <w:rsid w:val="00805994"/>
    <w:rsid w:val="00812130"/>
    <w:rsid w:val="00813BAB"/>
    <w:rsid w:val="0081605C"/>
    <w:rsid w:val="00816E8E"/>
    <w:rsid w:val="00842C50"/>
    <w:rsid w:val="00846554"/>
    <w:rsid w:val="008542AE"/>
    <w:rsid w:val="0085756F"/>
    <w:rsid w:val="00861BAF"/>
    <w:rsid w:val="008633A6"/>
    <w:rsid w:val="00874B45"/>
    <w:rsid w:val="00875680"/>
    <w:rsid w:val="00880A23"/>
    <w:rsid w:val="00891824"/>
    <w:rsid w:val="00891DE7"/>
    <w:rsid w:val="008A41C3"/>
    <w:rsid w:val="008A7084"/>
    <w:rsid w:val="008B51CC"/>
    <w:rsid w:val="008B59E9"/>
    <w:rsid w:val="008C6BFE"/>
    <w:rsid w:val="008D02AD"/>
    <w:rsid w:val="008D137C"/>
    <w:rsid w:val="008D449D"/>
    <w:rsid w:val="008D6014"/>
    <w:rsid w:val="008D6B76"/>
    <w:rsid w:val="008D6CCC"/>
    <w:rsid w:val="008D7122"/>
    <w:rsid w:val="008D7900"/>
    <w:rsid w:val="008D7CFB"/>
    <w:rsid w:val="008E16AD"/>
    <w:rsid w:val="008E3F9D"/>
    <w:rsid w:val="008F2F25"/>
    <w:rsid w:val="008F6CC2"/>
    <w:rsid w:val="008F7F74"/>
    <w:rsid w:val="00901195"/>
    <w:rsid w:val="0090363A"/>
    <w:rsid w:val="00905B7B"/>
    <w:rsid w:val="00910F33"/>
    <w:rsid w:val="0091424E"/>
    <w:rsid w:val="00931958"/>
    <w:rsid w:val="00933B1D"/>
    <w:rsid w:val="00933B5B"/>
    <w:rsid w:val="00934081"/>
    <w:rsid w:val="00944D18"/>
    <w:rsid w:val="00944E04"/>
    <w:rsid w:val="00953F5F"/>
    <w:rsid w:val="009639F8"/>
    <w:rsid w:val="0098514F"/>
    <w:rsid w:val="00993730"/>
    <w:rsid w:val="00994B6C"/>
    <w:rsid w:val="009962E8"/>
    <w:rsid w:val="009A361D"/>
    <w:rsid w:val="009A58EB"/>
    <w:rsid w:val="009A6A0B"/>
    <w:rsid w:val="009C0CC0"/>
    <w:rsid w:val="009C2A6E"/>
    <w:rsid w:val="009C5F7E"/>
    <w:rsid w:val="009D33E6"/>
    <w:rsid w:val="009D3AB9"/>
    <w:rsid w:val="009D42D8"/>
    <w:rsid w:val="009D5FC5"/>
    <w:rsid w:val="009E37DC"/>
    <w:rsid w:val="009E74AE"/>
    <w:rsid w:val="009F04CA"/>
    <w:rsid w:val="009F0693"/>
    <w:rsid w:val="009F49C6"/>
    <w:rsid w:val="009F63F5"/>
    <w:rsid w:val="00A00C0E"/>
    <w:rsid w:val="00A01423"/>
    <w:rsid w:val="00A01F34"/>
    <w:rsid w:val="00A12D22"/>
    <w:rsid w:val="00A13149"/>
    <w:rsid w:val="00A144CE"/>
    <w:rsid w:val="00A15A6E"/>
    <w:rsid w:val="00A16E2E"/>
    <w:rsid w:val="00A20499"/>
    <w:rsid w:val="00A237F3"/>
    <w:rsid w:val="00A2728A"/>
    <w:rsid w:val="00A27299"/>
    <w:rsid w:val="00A34D31"/>
    <w:rsid w:val="00A515FD"/>
    <w:rsid w:val="00A51A07"/>
    <w:rsid w:val="00A54C04"/>
    <w:rsid w:val="00A605FF"/>
    <w:rsid w:val="00A62441"/>
    <w:rsid w:val="00A64CCF"/>
    <w:rsid w:val="00A67721"/>
    <w:rsid w:val="00A70F15"/>
    <w:rsid w:val="00A72FB5"/>
    <w:rsid w:val="00A808E5"/>
    <w:rsid w:val="00A80ED9"/>
    <w:rsid w:val="00A815A4"/>
    <w:rsid w:val="00A82182"/>
    <w:rsid w:val="00A90B39"/>
    <w:rsid w:val="00A91E82"/>
    <w:rsid w:val="00A9391F"/>
    <w:rsid w:val="00A949CA"/>
    <w:rsid w:val="00A95582"/>
    <w:rsid w:val="00AA2458"/>
    <w:rsid w:val="00AB68CB"/>
    <w:rsid w:val="00AB7008"/>
    <w:rsid w:val="00AB78AD"/>
    <w:rsid w:val="00AC1AA2"/>
    <w:rsid w:val="00AC7924"/>
    <w:rsid w:val="00AD10B6"/>
    <w:rsid w:val="00AE173E"/>
    <w:rsid w:val="00AF5F76"/>
    <w:rsid w:val="00B027EE"/>
    <w:rsid w:val="00B02C70"/>
    <w:rsid w:val="00B02F4F"/>
    <w:rsid w:val="00B12173"/>
    <w:rsid w:val="00B17298"/>
    <w:rsid w:val="00B2097C"/>
    <w:rsid w:val="00B232A6"/>
    <w:rsid w:val="00B357C9"/>
    <w:rsid w:val="00B35E66"/>
    <w:rsid w:val="00B463CF"/>
    <w:rsid w:val="00B5520A"/>
    <w:rsid w:val="00B62C2C"/>
    <w:rsid w:val="00B67432"/>
    <w:rsid w:val="00B71A0E"/>
    <w:rsid w:val="00B7203B"/>
    <w:rsid w:val="00B80417"/>
    <w:rsid w:val="00B82260"/>
    <w:rsid w:val="00B84BEB"/>
    <w:rsid w:val="00B902C8"/>
    <w:rsid w:val="00B933F6"/>
    <w:rsid w:val="00B94400"/>
    <w:rsid w:val="00B979E7"/>
    <w:rsid w:val="00BA7303"/>
    <w:rsid w:val="00BB2A49"/>
    <w:rsid w:val="00BC57EE"/>
    <w:rsid w:val="00BD0AE3"/>
    <w:rsid w:val="00BD1F1D"/>
    <w:rsid w:val="00BD2A64"/>
    <w:rsid w:val="00BD2CD6"/>
    <w:rsid w:val="00BD2D38"/>
    <w:rsid w:val="00BD3CCC"/>
    <w:rsid w:val="00BD4BBC"/>
    <w:rsid w:val="00BD5BAC"/>
    <w:rsid w:val="00BE120D"/>
    <w:rsid w:val="00BE15BD"/>
    <w:rsid w:val="00BE17DA"/>
    <w:rsid w:val="00BE3CD3"/>
    <w:rsid w:val="00BE3D87"/>
    <w:rsid w:val="00BE575E"/>
    <w:rsid w:val="00BF0FFF"/>
    <w:rsid w:val="00BF4758"/>
    <w:rsid w:val="00BF587E"/>
    <w:rsid w:val="00BF6E96"/>
    <w:rsid w:val="00BF7123"/>
    <w:rsid w:val="00BF7335"/>
    <w:rsid w:val="00C05687"/>
    <w:rsid w:val="00C1357B"/>
    <w:rsid w:val="00C15614"/>
    <w:rsid w:val="00C259D7"/>
    <w:rsid w:val="00C30ED0"/>
    <w:rsid w:val="00C369D7"/>
    <w:rsid w:val="00C3740E"/>
    <w:rsid w:val="00C424CE"/>
    <w:rsid w:val="00C44622"/>
    <w:rsid w:val="00C50003"/>
    <w:rsid w:val="00C52666"/>
    <w:rsid w:val="00C52ADD"/>
    <w:rsid w:val="00C52F53"/>
    <w:rsid w:val="00C54234"/>
    <w:rsid w:val="00C5731D"/>
    <w:rsid w:val="00C64553"/>
    <w:rsid w:val="00C7551B"/>
    <w:rsid w:val="00C76715"/>
    <w:rsid w:val="00C7699E"/>
    <w:rsid w:val="00C8071D"/>
    <w:rsid w:val="00C84C13"/>
    <w:rsid w:val="00C92B28"/>
    <w:rsid w:val="00C96C61"/>
    <w:rsid w:val="00C9788C"/>
    <w:rsid w:val="00CA1165"/>
    <w:rsid w:val="00CA2DDD"/>
    <w:rsid w:val="00CA4816"/>
    <w:rsid w:val="00CB2AC7"/>
    <w:rsid w:val="00CC0C3E"/>
    <w:rsid w:val="00CC537A"/>
    <w:rsid w:val="00CD3695"/>
    <w:rsid w:val="00CD7144"/>
    <w:rsid w:val="00CD7535"/>
    <w:rsid w:val="00CE175C"/>
    <w:rsid w:val="00CE1CFB"/>
    <w:rsid w:val="00CE5C26"/>
    <w:rsid w:val="00CF0464"/>
    <w:rsid w:val="00CF1BFA"/>
    <w:rsid w:val="00CF6A2B"/>
    <w:rsid w:val="00CF7407"/>
    <w:rsid w:val="00D05B52"/>
    <w:rsid w:val="00D1066A"/>
    <w:rsid w:val="00D124C3"/>
    <w:rsid w:val="00D21C94"/>
    <w:rsid w:val="00D3070B"/>
    <w:rsid w:val="00D3622B"/>
    <w:rsid w:val="00D37012"/>
    <w:rsid w:val="00D407F7"/>
    <w:rsid w:val="00D40D03"/>
    <w:rsid w:val="00D449DC"/>
    <w:rsid w:val="00D4582D"/>
    <w:rsid w:val="00D47952"/>
    <w:rsid w:val="00D50605"/>
    <w:rsid w:val="00D55F03"/>
    <w:rsid w:val="00D56308"/>
    <w:rsid w:val="00D5726C"/>
    <w:rsid w:val="00D61289"/>
    <w:rsid w:val="00D676E5"/>
    <w:rsid w:val="00D754AF"/>
    <w:rsid w:val="00D77109"/>
    <w:rsid w:val="00D8523B"/>
    <w:rsid w:val="00D85EF2"/>
    <w:rsid w:val="00D92833"/>
    <w:rsid w:val="00D94FCC"/>
    <w:rsid w:val="00D950D5"/>
    <w:rsid w:val="00D97857"/>
    <w:rsid w:val="00DA2AFE"/>
    <w:rsid w:val="00DB2E71"/>
    <w:rsid w:val="00DC4F11"/>
    <w:rsid w:val="00DC6297"/>
    <w:rsid w:val="00DD04AD"/>
    <w:rsid w:val="00DD1489"/>
    <w:rsid w:val="00DD41A5"/>
    <w:rsid w:val="00DE01CF"/>
    <w:rsid w:val="00DE3AB2"/>
    <w:rsid w:val="00DE6D02"/>
    <w:rsid w:val="00DF2833"/>
    <w:rsid w:val="00DF4F1B"/>
    <w:rsid w:val="00E14E2E"/>
    <w:rsid w:val="00E20F5D"/>
    <w:rsid w:val="00E30E18"/>
    <w:rsid w:val="00E35978"/>
    <w:rsid w:val="00E37696"/>
    <w:rsid w:val="00E402FB"/>
    <w:rsid w:val="00E47544"/>
    <w:rsid w:val="00E502C4"/>
    <w:rsid w:val="00E504CF"/>
    <w:rsid w:val="00E51A80"/>
    <w:rsid w:val="00E52EF4"/>
    <w:rsid w:val="00E55591"/>
    <w:rsid w:val="00E56569"/>
    <w:rsid w:val="00E6464C"/>
    <w:rsid w:val="00E75B34"/>
    <w:rsid w:val="00E81B26"/>
    <w:rsid w:val="00E82020"/>
    <w:rsid w:val="00E83606"/>
    <w:rsid w:val="00E857B3"/>
    <w:rsid w:val="00E93261"/>
    <w:rsid w:val="00EA19B0"/>
    <w:rsid w:val="00EA1B10"/>
    <w:rsid w:val="00EA1FFD"/>
    <w:rsid w:val="00EB3F22"/>
    <w:rsid w:val="00EB76B2"/>
    <w:rsid w:val="00EC2D12"/>
    <w:rsid w:val="00EC53CC"/>
    <w:rsid w:val="00EC59E3"/>
    <w:rsid w:val="00EC7119"/>
    <w:rsid w:val="00ED0BF6"/>
    <w:rsid w:val="00ED2799"/>
    <w:rsid w:val="00ED2E8C"/>
    <w:rsid w:val="00ED35B6"/>
    <w:rsid w:val="00ED4905"/>
    <w:rsid w:val="00ED60C5"/>
    <w:rsid w:val="00EE167D"/>
    <w:rsid w:val="00EF49B0"/>
    <w:rsid w:val="00F00FF7"/>
    <w:rsid w:val="00F05343"/>
    <w:rsid w:val="00F13BB7"/>
    <w:rsid w:val="00F21A3E"/>
    <w:rsid w:val="00F23470"/>
    <w:rsid w:val="00F305F3"/>
    <w:rsid w:val="00F31CFC"/>
    <w:rsid w:val="00F35673"/>
    <w:rsid w:val="00F401CA"/>
    <w:rsid w:val="00F40394"/>
    <w:rsid w:val="00F44BE8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8253F"/>
    <w:rsid w:val="00F91F52"/>
    <w:rsid w:val="00F9484C"/>
    <w:rsid w:val="00FA3172"/>
    <w:rsid w:val="00FA3E95"/>
    <w:rsid w:val="00FA4FB3"/>
    <w:rsid w:val="00FA6FB4"/>
    <w:rsid w:val="00FB12FE"/>
    <w:rsid w:val="00FB7471"/>
    <w:rsid w:val="00FC403E"/>
    <w:rsid w:val="00FC5D60"/>
    <w:rsid w:val="00FC6D24"/>
    <w:rsid w:val="00FD3282"/>
    <w:rsid w:val="00FD4D79"/>
    <w:rsid w:val="00FE003C"/>
    <w:rsid w:val="00FE11FB"/>
    <w:rsid w:val="00FE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B3DC6-B7D0-4E38-9578-A779F887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  <w:style w:type="character" w:styleId="ac">
    <w:name w:val="annotation reference"/>
    <w:basedOn w:val="a0"/>
    <w:semiHidden/>
    <w:unhideWhenUsed/>
    <w:rsid w:val="0025084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50848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250848"/>
    <w:rPr>
      <w:rFonts w:ascii="NTHelvetica/Cyrillic" w:eastAsia="Calibri" w:hAnsi="NTHelvetica/Cyrillic"/>
    </w:rPr>
  </w:style>
  <w:style w:type="paragraph" w:styleId="af">
    <w:name w:val="annotation subject"/>
    <w:basedOn w:val="ad"/>
    <w:next w:val="ad"/>
    <w:link w:val="af0"/>
    <w:semiHidden/>
    <w:unhideWhenUsed/>
    <w:rsid w:val="0025084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50848"/>
    <w:rPr>
      <w:rFonts w:ascii="NTHelvetica/Cyrillic" w:eastAsia="Calibri" w:hAnsi="NTHelvetica/Cyrill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&#1086;msb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3AF9-A86B-4754-ABBD-58BAF39E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7</cp:revision>
  <cp:lastPrinted>2017-06-05T06:51:00Z</cp:lastPrinted>
  <dcterms:created xsi:type="dcterms:W3CDTF">2018-05-21T09:17:00Z</dcterms:created>
  <dcterms:modified xsi:type="dcterms:W3CDTF">2018-05-23T08:01:00Z</dcterms:modified>
</cp:coreProperties>
</file>